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80"/>
        <w:jc w:val="center"/>
      </w:pPr>
      <w:r>
        <w:rPr>
          <w:rFonts w:ascii="Calibri" w:cs="Calibri" w:eastAsia="Calibri" w:hAnsi="Calibri"/>
          <w:b/>
          <w:bCs/>
          <w:color w:val="1F4E79"/>
          <w:sz w:val="32"/>
          <w:szCs w:val="32"/>
        </w:rPr>
        <w:t xml:space="preserve">RÈGLEMENT D’ORDRE INTÉRIEUR</w:t>
      </w:r>
    </w:p>
    <w:p>
      <w:pPr>
        <w:spacing w:after="240"/>
        <w:jc w:val="center"/>
      </w:pPr>
      <w:r>
        <w:rPr>
          <w:i/>
          <w:iCs/>
          <w:color w:val="666666"/>
          <w:sz w:val="22"/>
          <w:szCs w:val="22"/>
        </w:rPr>
        <w:t xml:space="preserve">ASBL ABIC — Association Belge des Infirmiers Camerounais</w:t>
      </w:r>
    </w:p>
    <w:p>
      <w:pPr>
        <w:spacing w:after="240"/>
        <w:jc w:val="center"/>
      </w:pPr>
      <w:r>
        <w:rPr>
          <w:i/>
          <w:iCs/>
          <w:color w:val="666666"/>
          <w:sz w:val="22"/>
          <w:szCs w:val="22"/>
        </w:rPr>
        <w:t xml:space="preserve">Adopté par l’assemblée générale du 3 octobre 2026, à Charleroi</w:t>
      </w:r>
    </w:p>
    <w:p>
      <w:pPr>
        <w:pBdr>
          <w:bottom w:val="single" w:color="1F4E79" w:sz="6" w:space="1"/>
        </w:pBdr>
        <w:spacing w:after="200"/>
      </w:pPr>
    </w:p>
    <w:p>
      <w:pPr>
        <w:pStyle w:val="Heading2"/>
      </w:pPr>
      <w:r>
        <w:t xml:space="preserve">Article 1 — Objet</w:t>
      </w:r>
    </w:p>
    <w:p>
      <w:pPr>
        <w:spacing w:after="120"/>
        <w:jc w:val="both"/>
      </w:pPr>
      <w:r>
        <w:t xml:space="preserve">Le présent règlement complète les statuts de l’association. Il ne peut y déroger : en cas de contradiction, la loi et les statuts priment. Il remplace le règlement d’ordre intérieur approuvé le 25 mars 2023. Il s’applique à tous les membres, effectifs, adhérents et d’honneur.</w:t>
      </w:r>
    </w:p>
    <w:p>
      <w:pPr>
        <w:pStyle w:val="Heading2"/>
      </w:pPr>
      <w:r>
        <w:t xml:space="preserve">Article 2 — Adhésion en pratique</w:t>
      </w:r>
    </w:p>
    <w:p>
      <w:pPr>
        <w:spacing w:after="120"/>
        <w:jc w:val="both"/>
      </w:pPr>
      <w:r>
        <w:t xml:space="preserve">La demande d’adhésion se fait au moyen du formulaire disponible sur le site de l’association ou sur papier. Le candidat membre effectif joint une copie de son diplôme, ou la preuve de sa reconnaissance ou de son enregistrement en Belgique, et signe l’engagement à respecter les statuts, le présent règlement et la charte des membres.</w:t>
      </w:r>
    </w:p>
    <w:p>
      <w:pPr>
        <w:spacing w:after="120"/>
        <w:jc w:val="both"/>
      </w:pPr>
      <w:r>
        <w:t xml:space="preserve">Le secrétaire général accuse réception de la demande et la soumet au conseil d’administration lors de sa réunion suivante. Après l’admission, le nouveau membre reçoit les statuts, le présent règlement et la charte. Il est ajouté aux canaux de communication et présenté lors de la rencontre suivante des membres. Un membre expérimenté peut être désigné pour l’accueillir pendant ses premiers mois.</w:t>
      </w:r>
    </w:p>
    <w:p>
      <w:pPr>
        <w:pStyle w:val="Heading2"/>
      </w:pPr>
      <w:r>
        <w:t xml:space="preserve">Article 3 — Cotisations</w:t>
      </w:r>
    </w:p>
    <w:p>
      <w:pPr>
        <w:spacing w:after="120"/>
        <w:jc w:val="both"/>
      </w:pPr>
      <w:r>
        <w:t xml:space="preserve">À la date d’adoption du présent règlement, l’assemblée générale a fixé la cotisation des membres effectifs à 20 euros par mois (240 euros par an), le droit d’entrée à 100 euros et la cotisation des membres adhérents à 10 euros par mois (120 euros par an), sans droit d’entrée.</w:t>
      </w:r>
    </w:p>
    <w:p>
      <w:pPr>
        <w:spacing w:after="120"/>
        <w:jc w:val="both"/>
      </w:pPr>
      <w:r>
        <w:t xml:space="preserve">La cotisation peut être payée mensuellement, de préférence par ordre permanent, ou en une fois pour l’année. Le paiement se fait par virement sur le compte </w:t>
      </w:r>
      <w:r>
        <w:t xml:space="preserve">de l’association BE12 0689 5103 3392</w:t>
      </w:r>
      <w:r>
        <w:t xml:space="preserve">, avec la communication « Cotisation – nom – année ».</w:t>
      </w:r>
    </w:p>
    <w:p>
      <w:pPr>
        <w:spacing w:after="120"/>
        <w:jc w:val="both"/>
      </w:pPr>
      <w:r>
        <w:t xml:space="preserve">Le trésorier vérifie les paiements chaque mois. En cas de retard, il envoie :</w:t>
      </w:r>
    </w:p>
    <w:p>
      <w:pPr>
        <w:pStyle w:val="ListParagraph"/>
        <w:numPr>
          <w:ilvl w:val="0"/>
          <w:numId w:val="2"/>
        </w:numPr>
        <w:spacing w:after="60"/>
        <w:jc w:val="both"/>
      </w:pPr>
      <w:r>
        <w:t xml:space="preserve">un premier rappel amical, par message personnel, après un mois de retard ;</w:t>
      </w:r>
    </w:p>
    <w:p>
      <w:pPr>
        <w:pStyle w:val="ListParagraph"/>
        <w:numPr>
          <w:ilvl w:val="0"/>
          <w:numId w:val="2"/>
        </w:numPr>
        <w:spacing w:after="60"/>
        <w:jc w:val="both"/>
      </w:pPr>
      <w:r>
        <w:t xml:space="preserve">un deuxième rappel par e-mail après trois mois ;</w:t>
      </w:r>
    </w:p>
    <w:p>
      <w:pPr>
        <w:pStyle w:val="ListParagraph"/>
        <w:numPr>
          <w:ilvl w:val="0"/>
          <w:numId w:val="2"/>
        </w:numPr>
        <w:spacing w:after="60"/>
        <w:jc w:val="both"/>
      </w:pPr>
      <w:r>
        <w:t xml:space="preserve">un troisième rappel par e-mail après cinq mois, qui rappelle l’article 10 des statuts.</w:t>
      </w:r>
    </w:p>
    <w:p>
      <w:pPr>
        <w:spacing w:after="120"/>
        <w:jc w:val="both"/>
      </w:pPr>
      <w:r>
        <w:t xml:space="preserve">Si la cotisation n’est toujours pas payée six mois après l’échéance, le conseil d’administration constate que le membre est réputé démissionnaire.</w:t>
      </w:r>
    </w:p>
    <w:p>
      <w:pPr>
        <w:spacing w:after="120"/>
        <w:jc w:val="both"/>
      </w:pPr>
      <w:r>
        <w:t xml:space="preserve">Un membre qui traverse des difficultés peut demander, en toute confidentialité, un étalement ou une dispense temporaire. Le conseil d’administration en décide.</w:t>
      </w:r>
    </w:p>
    <w:p>
      <w:pPr>
        <w:spacing w:after="120"/>
        <w:jc w:val="both"/>
      </w:pPr>
      <w:r>
        <w:t xml:space="preserve">Avant chaque assemblée générale, le trésorier remet au secrétaire général la liste à jour des membres effectifs en ordre de cotisation.</w:t>
      </w:r>
    </w:p>
    <w:p>
      <w:pPr>
        <w:pStyle w:val="Heading2"/>
      </w:pPr>
      <w:r>
        <w:t xml:space="preserve">Article 4 — Missions des fonctions</w:t>
      </w:r>
    </w:p>
    <w:p>
      <w:pPr>
        <w:spacing w:after="120"/>
        <w:jc w:val="both"/>
      </w:pPr>
      <w:r>
        <w:t xml:space="preserve">Les membres du bureau sont élus conformément à l’article 24 des statuts : le président et le trésorier sont administrateurs, les autres membres du bureau peuvent ne pas l’être et participent au conseil d’administration avec voix consultative. Les missions ci-dessous décrivent la répartition des tâches. Elles ne modifient pas les règles de décision et de représentation prévues par les statuts.</w:t>
      </w:r>
    </w:p>
    <w:p>
      <w:pPr>
        <w:spacing w:after="120"/>
        <w:jc w:val="both"/>
      </w:pPr>
      <w:r>
        <w:rPr>
          <w:b/>
          <w:bCs/>
        </w:rPr>
        <w:t xml:space="preserve">Président</w:t>
      </w:r>
      <w:r>
        <w:t xml:space="preserve"> — coordonne l’action de l’association, prépare les ordres du jour avec le secrétaire général, préside le conseil d’administration et l’assemblée générale, est le porte-parole de l’association et veille au suivi des décisions.</w:t>
      </w:r>
    </w:p>
    <w:p>
      <w:pPr>
        <w:spacing w:after="120"/>
        <w:jc w:val="both"/>
      </w:pPr>
      <w:r>
        <w:rPr>
          <w:b/>
          <w:bCs/>
        </w:rPr>
        <w:t xml:space="preserve">Vice-président</w:t>
      </w:r>
      <w:r>
        <w:t xml:space="preserve"> — assiste et remplace le président, préside la commission de discipline et de médiation, et suit les projets que le conseil lui confie.</w:t>
      </w:r>
    </w:p>
    <w:p>
      <w:pPr>
        <w:spacing w:after="120"/>
        <w:jc w:val="both"/>
      </w:pPr>
      <w:r>
        <w:rPr>
          <w:b/>
          <w:bCs/>
        </w:rPr>
        <w:t xml:space="preserve">Secrétaire général</w:t>
      </w:r>
      <w:r>
        <w:t xml:space="preserve"> — envoie les convocations, rédige les procès-verbaux dans les quinze jours de chaque réunion, tient le registre des membres et le registre des procès-verbaux, conserve les archives et gère la correspondance.</w:t>
      </w:r>
    </w:p>
    <w:p>
      <w:pPr>
        <w:spacing w:after="120"/>
        <w:jc w:val="both"/>
      </w:pPr>
      <w:r>
        <w:rPr>
          <w:b/>
          <w:bCs/>
        </w:rPr>
        <w:t xml:space="preserve">Secrétaire adjoint</w:t>
      </w:r>
      <w:r>
        <w:t xml:space="preserve"> — assiste et remplace le secrétaire général, et coordonne la communication : site internet, réseaux sociaux, groupes WhatsApp.</w:t>
      </w:r>
    </w:p>
    <w:p>
      <w:pPr>
        <w:spacing w:after="120"/>
        <w:jc w:val="both"/>
      </w:pPr>
      <w:r>
        <w:rPr>
          <w:b/>
          <w:bCs/>
        </w:rPr>
        <w:t xml:space="preserve">Trésorier</w:t>
      </w:r>
      <w:r>
        <w:t xml:space="preserve"> — tient la comptabilité, exécute les paiements, suit les cotisations et les rappels, prépare les comptes annuels et le budget, gère les relations avec la banque, tient l’inventaire des biens et le dossier des assurances.</w:t>
      </w:r>
    </w:p>
    <w:p>
      <w:pPr>
        <w:spacing w:after="120"/>
        <w:jc w:val="both"/>
      </w:pPr>
      <w:r>
        <w:rPr>
          <w:b/>
          <w:bCs/>
        </w:rPr>
        <w:t xml:space="preserve">Vérificateur aux comptes</w:t>
      </w:r>
      <w:r>
        <w:t xml:space="preserve"> — contrôle au moins une fois par an, avant l’assemblée générale ordinaire, les comptes et les pièces justificatives, et remet un rapport écrit.</w:t>
      </w:r>
    </w:p>
    <w:p>
      <w:pPr>
        <w:spacing w:after="120"/>
        <w:jc w:val="both"/>
      </w:pPr>
      <w:r>
        <w:rPr>
          <w:b/>
          <w:bCs/>
        </w:rPr>
        <w:t xml:space="preserve">Censeur de séance</w:t>
      </w:r>
      <w:r>
        <w:t xml:space="preserve"> — désigné au début de chaque réunion (assemblée générale, conseil d’administration, rencontre de membres), il veille au respect du temps de parole, de l’ordre du jour et de la charte des membres. Il peut proposer une pause pour apaiser un débat.</w:t>
      </w:r>
    </w:p>
    <w:p>
      <w:pPr>
        <w:spacing w:after="120"/>
        <w:jc w:val="both"/>
      </w:pPr>
      <w:r>
        <w:t xml:space="preserve">Une fonction n’est pas exclusive : tout administrateur ou membre du bureau peut se voir confier une mission particulière par le conseil d’administration.</w:t>
      </w:r>
    </w:p>
    <w:p>
      <w:pPr>
        <w:pStyle w:val="Heading2"/>
      </w:pPr>
      <w:r>
        <w:t xml:space="preserve">Article 5 — Réunions</w:t>
      </w:r>
    </w:p>
    <w:p>
      <w:pPr>
        <w:spacing w:after="120"/>
        <w:jc w:val="both"/>
      </w:pPr>
      <w:r>
        <w:rPr>
          <w:b/>
          <w:bCs/>
        </w:rPr>
        <w:t xml:space="preserve">Conseil d’administration.</w:t>
      </w:r>
      <w:r>
        <w:t xml:space="preserve"> Le calendrier des réunions est fixé en début d’année. Les documents utiles sont envoyés au plus tard trois jours avant la réunion. Le projet de procès-verbal est diffusé aux administrateurs et aux membres du bureau dans les quinze jours et approuvé au début de la réunion suivante. Un tableau de suivi des actions (qui fait quoi, pour quand) est tenu à jour par le secrétaire général.</w:t>
      </w:r>
    </w:p>
    <w:p>
      <w:pPr>
        <w:spacing w:after="120"/>
        <w:jc w:val="both"/>
      </w:pPr>
      <w:r>
        <w:rPr>
          <w:b/>
          <w:bCs/>
        </w:rPr>
        <w:t xml:space="preserve">Rencontres de membres.</w:t>
      </w:r>
      <w:r>
        <w:t xml:space="preserve"> Le conseil d’administration organise au moins quatre rencontres de membres par an : réunion d’information, souper, activité sportive ou culturelle, formation. La participation est vivement encouragée, mais elle n’est pas une condition d’adhésion.</w:t>
      </w:r>
    </w:p>
    <w:p>
      <w:pPr>
        <w:spacing w:after="120"/>
        <w:jc w:val="both"/>
      </w:pPr>
      <w:r>
        <w:rPr>
          <w:b/>
          <w:bCs/>
        </w:rPr>
        <w:t xml:space="preserve">Assemblée générale.</w:t>
      </w:r>
      <w:r>
        <w:t xml:space="preserve"> Une liste de présence est signée à l’entrée. Les procurations sont remises au secrétaire général avant l’ouverture de la séance. Lors d’un vote à bulletin secret, deux membres non candidats sont désignés pour dépouiller les bulletins.</w:t>
      </w:r>
    </w:p>
    <w:p>
      <w:pPr>
        <w:pStyle w:val="Heading2"/>
      </w:pPr>
      <w:r>
        <w:t xml:space="preserve">Article 6 — Finances et dépenses</w:t>
      </w:r>
    </w:p>
    <w:p>
      <w:pPr>
        <w:spacing w:after="120"/>
        <w:jc w:val="both"/>
      </w:pPr>
      <w:r>
        <w:t xml:space="preserve">Les dépenses sont engagées dans les limites du budget approuvé par l’assemblée générale. Leur engagement suit ces seuils :</w:t>
      </w:r>
    </w:p>
    <w:p>
      <w:pPr>
        <w:pStyle w:val="ListParagraph"/>
        <w:numPr>
          <w:ilvl w:val="0"/>
          <w:numId w:val="2"/>
        </w:numPr>
        <w:spacing w:after="60"/>
        <w:jc w:val="both"/>
      </w:pPr>
      <w:r>
        <w:t xml:space="preserve">jusqu’à 250 euros : le trésorier ou le président ;</w:t>
      </w:r>
    </w:p>
    <w:p>
      <w:pPr>
        <w:pStyle w:val="ListParagraph"/>
        <w:numPr>
          <w:ilvl w:val="0"/>
          <w:numId w:val="2"/>
        </w:numPr>
        <w:spacing w:after="60"/>
        <w:jc w:val="both"/>
      </w:pPr>
      <w:r>
        <w:t xml:space="preserve">de 250 à 1 000 euros : accord préalable du président et du trésorier ;</w:t>
      </w:r>
    </w:p>
    <w:p>
      <w:pPr>
        <w:pStyle w:val="ListParagraph"/>
        <w:numPr>
          <w:ilvl w:val="0"/>
          <w:numId w:val="2"/>
        </w:numPr>
        <w:spacing w:after="60"/>
        <w:jc w:val="both"/>
      </w:pPr>
      <w:r>
        <w:t xml:space="preserve">au-delà de 1 000 euros : décision préalable du conseil d’administration, consignée au procès-verbal.</w:t>
      </w:r>
    </w:p>
    <w:p>
      <w:pPr>
        <w:spacing w:after="120"/>
        <w:jc w:val="both"/>
      </w:pPr>
      <w:r>
        <w:t xml:space="preserve">Au moins deux administrateurs, dont le trésorier et le président, disposent d’un accès au compte bancaire. Tout paiement supérieur à 1 000 euros est validé par deux d’entre eux.</w:t>
      </w:r>
    </w:p>
    <w:p>
      <w:pPr>
        <w:spacing w:after="120"/>
        <w:jc w:val="both"/>
      </w:pPr>
      <w:r>
        <w:t xml:space="preserve">Les recettes en espèces (billetterie, buvette, collectes) sont comptées par deux personnes, consignées dans un relevé de caisse signé par les deux et versées sur le compte dans les sept jours.</w:t>
      </w:r>
    </w:p>
    <w:p>
      <w:pPr>
        <w:spacing w:after="120"/>
        <w:jc w:val="both"/>
      </w:pPr>
      <w:r>
        <w:rPr>
          <w:b/>
          <w:bCs/>
        </w:rPr>
        <w:t xml:space="preserve">Notes de frais.</w:t>
      </w:r>
      <w:r>
        <w:t xml:space="preserve"> Tout remboursement se fait au moyen d’une note de frais accompagnée des justificatifs, introduite dans les deux mois de la dépense. Le trésorier l’approuve, et le président approuve celles du trésorier. Les déplacements sont remboursés sur la base des transports en commun (seconde classe) ou de l’indemnité kilométrique en vigueur dans les services publics fédéraux. Les amendes ne sont jamais remboursées. Les frais de mission doivent avoir été autorisés au préalable par le conseil d’administration.</w:t>
      </w:r>
    </w:p>
    <w:p>
      <w:pPr>
        <w:spacing w:after="120"/>
        <w:jc w:val="both"/>
      </w:pPr>
      <w:r>
        <w:t xml:space="preserve">Les remboursements aux volontaires respectent la loi du 3 juillet 2005 relative aux droits des volontaires : frais réels justifiés ou défraiement forfaitaire dans les plafonds légaux, sans cumul non autorisé.</w:t>
      </w:r>
    </w:p>
    <w:p>
      <w:pPr>
        <w:pStyle w:val="Heading2"/>
      </w:pPr>
      <w:r>
        <w:t xml:space="preserve">Article 7 — Projets et collectes de fonds</w:t>
      </w:r>
    </w:p>
    <w:p>
      <w:pPr>
        <w:spacing w:after="120"/>
        <w:jc w:val="both"/>
      </w:pPr>
      <w:r>
        <w:t xml:space="preserve">Chaque projet (soirée de gala, envoi de matériel, mission, formation) fait l’objet d’une fiche approuvée par le conseil d’administration avant tout engagement. La fiche précise l’objectif, le budget, les partenaires, le calendrier et le responsable du projet.</w:t>
      </w:r>
    </w:p>
    <w:p>
      <w:pPr>
        <w:spacing w:after="120"/>
        <w:jc w:val="both"/>
      </w:pPr>
      <w:r>
        <w:t xml:space="preserve">Les fonds collectés pour un projet sont suivis séparément en comptabilité et affectés à ce projet. Si l’association doit compléter le financement sur ses fonds propres, ou s’il reste un solde, le conseil d’administration en décide et en informe l’assemblée générale.</w:t>
      </w:r>
    </w:p>
    <w:p>
      <w:pPr>
        <w:spacing w:after="120"/>
        <w:jc w:val="both"/>
      </w:pPr>
      <w:r>
        <w:t xml:space="preserve">Les accords avec les partenaires sont conclus par écrit et signés conformément aux règles de représentation des statuts. Pour un envoi de matériel, un inventaire est dressé au départ et un procès-verbal de réception est signé à l’arrivée par les structures bénéficiaires.</w:t>
      </w:r>
    </w:p>
    <w:p>
      <w:pPr>
        <w:spacing w:after="120"/>
        <w:jc w:val="both"/>
      </w:pPr>
      <w:r>
        <w:t xml:space="preserve">Les membres qui partent en mission au nom de l’association reçoivent un ordre de mission du conseil d’administration, sont couverts par une assurance assistance et remettent un rapport de mission à leur retour.</w:t>
      </w:r>
    </w:p>
    <w:p>
      <w:pPr>
        <w:spacing w:after="120"/>
        <w:jc w:val="both"/>
      </w:pPr>
      <w:r>
        <w:t xml:space="preserve">Dans les deux mois de la fin du projet, son responsable présente un bilan au conseil d’administration : finances, réalisations, photos et leçons tirées. Un résumé est présenté à l’assemblée générale et adressé aux donateurs et partenaires.</w:t>
      </w:r>
    </w:p>
    <w:p>
      <w:pPr>
        <w:pStyle w:val="Heading2"/>
      </w:pPr>
      <w:r>
        <w:t xml:space="preserve">Article 8 — Volontariat et assurances</w:t>
      </w:r>
    </w:p>
    <w:p>
      <w:pPr>
        <w:spacing w:after="120"/>
        <w:jc w:val="both"/>
      </w:pPr>
      <w:r>
        <w:t xml:space="preserve">Les membres qui agissent pour l’association le font en qualité de volontaires, sans rémunération. Conformément à la loi du 3 juillet 2005, l’association remet à chaque volontaire une note d’organisation. Cette note précise le but de l’association, les assurances souscrites, le régime de remboursement des frais et l’obligation de discrétion.</w:t>
      </w:r>
    </w:p>
    <w:p>
      <w:pPr>
        <w:spacing w:after="120"/>
        <w:jc w:val="both"/>
      </w:pPr>
      <w:r>
        <w:t xml:space="preserve">L’association souscrit une assurance en responsabilité civile couvrant ses activités et ses volontaires. Le conseil d’administration examine l’opportunité d’une assurance de la responsabilité des administrateurs, d’une assurance accidents corporels pour les volontaires et d’une assurance assistance pour les missions à l’étranger.</w:t>
      </w:r>
    </w:p>
    <w:p>
      <w:pPr>
        <w:spacing w:after="120"/>
        <w:jc w:val="both"/>
      </w:pPr>
      <w:r>
        <w:t xml:space="preserve">Tout accident survenu dans le cadre d’une activité est signalé sans délai au secrétaire général, pour une déclaration à l’assureur dans les huit jours. L’association n’est pas responsable des vols ou dégâts aux biens personnels lors de ses activités.</w:t>
      </w:r>
    </w:p>
    <w:p>
      <w:pPr>
        <w:pStyle w:val="Heading2"/>
      </w:pPr>
      <w:r>
        <w:t xml:space="preserve">Article 9 — Discipline et médiation</w:t>
      </w:r>
    </w:p>
    <w:p>
      <w:pPr>
        <w:spacing w:after="120"/>
        <w:jc w:val="both"/>
      </w:pPr>
      <w:r>
        <w:t xml:space="preserve">La commission de discipline et de médiation est composée du vice-président, qui la préside, et de deux membres effectifs désignés chaque année par le conseil d’administration. Un membre de la commission concerné par une affaire est remplacé pour celle-ci.</w:t>
      </w:r>
    </w:p>
    <w:p>
      <w:pPr>
        <w:spacing w:after="120"/>
        <w:jc w:val="both"/>
      </w:pPr>
      <w:r>
        <w:t xml:space="preserve">Toute plainte est adressée par écrit au vice-président ou au secrétaire général et traitée avec la plus stricte discrétion. La commission informe par écrit le membre concerné des faits qui lui sont reprochés et l’invite à être entendu dans un délai d’au moins quinze jours ; il peut se faire accompagner d’un autre membre. La commission cherche d’abord une solution amiable. Elle remet ensuite un rapport au conseil d’administration, qui peut :</w:t>
      </w:r>
    </w:p>
    <w:p>
      <w:pPr>
        <w:pStyle w:val="ListParagraph"/>
        <w:numPr>
          <w:ilvl w:val="0"/>
          <w:numId w:val="2"/>
        </w:numPr>
        <w:spacing w:after="60"/>
        <w:jc w:val="both"/>
      </w:pPr>
      <w:r>
        <w:t xml:space="preserve">classer la plainte sans suite ;</w:t>
      </w:r>
    </w:p>
    <w:p>
      <w:pPr>
        <w:pStyle w:val="ListParagraph"/>
        <w:numPr>
          <w:ilvl w:val="0"/>
          <w:numId w:val="2"/>
        </w:numPr>
        <w:spacing w:after="60"/>
        <w:jc w:val="both"/>
      </w:pPr>
      <w:r>
        <w:t xml:space="preserve">adresser un rappel à l’ordre ou un avertissement écrit ;</w:t>
      </w:r>
    </w:p>
    <w:p>
      <w:pPr>
        <w:pStyle w:val="ListParagraph"/>
        <w:numPr>
          <w:ilvl w:val="0"/>
          <w:numId w:val="2"/>
        </w:numPr>
        <w:spacing w:after="60"/>
        <w:jc w:val="both"/>
      </w:pPr>
      <w:r>
        <w:t xml:space="preserve">suspendre le membre jusqu’à la décision de l’assemblée générale ;</w:t>
      </w:r>
    </w:p>
    <w:p>
      <w:pPr>
        <w:pStyle w:val="ListParagraph"/>
        <w:numPr>
          <w:ilvl w:val="0"/>
          <w:numId w:val="2"/>
        </w:numPr>
        <w:spacing w:after="60"/>
        <w:jc w:val="both"/>
      </w:pPr>
      <w:r>
        <w:t xml:space="preserve">proposer l’exclusion à l’assemblée générale, seule compétente pour la prononcer (article 11 des statuts).</w:t>
      </w:r>
    </w:p>
    <w:p>
      <w:pPr>
        <w:spacing w:after="120"/>
        <w:jc w:val="both"/>
      </w:pPr>
      <w:r>
        <w:t xml:space="preserve">Sont notamment considérés comme des manquements graves : le détournement de fonds ou de biens de l’association ; le harcèlement, la violence ou la discrimination ; l’atteinte grave et délibérée à l’image de l’association ; la divulgation de données personnelles de membres ou d’informations couvertes par le secret professionnel ; le fait de s’exprimer ou de s’engager au nom de l’association sans mandat ; le non-respect répété de la charte après avertissement.</w:t>
      </w:r>
    </w:p>
    <w:p>
      <w:pPr>
        <w:pStyle w:val="Heading2"/>
      </w:pPr>
      <w:r>
        <w:t xml:space="preserve">Article 10 — Parrain et marraine</w:t>
      </w:r>
    </w:p>
    <w:p>
      <w:pPr>
        <w:spacing w:after="120"/>
        <w:jc w:val="both"/>
      </w:pPr>
      <w:r>
        <w:t xml:space="preserve">L’association peut être accompagnée d’un parrain et d’une marraine, personnalités qui la soutiennent par leurs conseils, leur réseau et leur visibilité. Ils sont proposés par le conseil d’administration et invités à s’engager pour trois ans, renouvelables, comme les mandats du bureau. Ils reçoivent le titre de membre d’honneur. Ils sont invités à l’assemblée générale et aux activités, sans droit de vote et sans pouvoir d’engager l’association. Le renouvellement de leur engagement est évoqué avec eux à l’approche de son terme.</w:t>
      </w:r>
    </w:p>
    <w:p>
      <w:pPr>
        <w:pStyle w:val="Heading2"/>
      </w:pPr>
      <w:r>
        <w:t xml:space="preserve">Article 11 — Commissions et groupes de travail</w:t>
      </w:r>
    </w:p>
    <w:p>
      <w:pPr>
        <w:spacing w:after="120"/>
        <w:jc w:val="both"/>
      </w:pPr>
      <w:r>
        <w:t xml:space="preserve">Le conseil d’administration peut créer des commissions ou groupes de travail, par exemple pour la formation, les événements, les projets au Cameroun ou la communication. Chacun a un référent, qui fait rapport au conseil d’administration. Ces groupes sont ouverts à tous les membres, y compris les membres adhérents.</w:t>
      </w:r>
    </w:p>
    <w:p>
      <w:pPr>
        <w:pStyle w:val="Heading2"/>
      </w:pPr>
      <w:r>
        <w:t xml:space="preserve">Article 12 — Communication et image</w:t>
      </w:r>
    </w:p>
    <w:p>
      <w:pPr>
        <w:spacing w:after="120"/>
        <w:jc w:val="both"/>
      </w:pPr>
      <w:r>
        <w:t xml:space="preserve">Les canaux officiels de l’association sont son site internet, son adresse e-mail, ses réseaux sociaux et ses groupes WhatsApp. Leurs règles d’usage figurent dans la charte des membres. Seuls le président et les personnes mandatées par le conseil d’administration s’expriment publiquement au nom de l’association. L’usage du nom et du logo de l’association requiert l’accord du conseil d’administration.</w:t>
      </w:r>
    </w:p>
    <w:p>
      <w:pPr>
        <w:spacing w:after="120"/>
        <w:jc w:val="both"/>
      </w:pPr>
      <w:r>
        <w:t xml:space="preserve">Des photos et vidéos sont prises lors des activités et peuvent être publiées sur les canaux de l’association. Chaque membre peut s’y opposer à tout moment, pour l’avenir, en le signalant au secrétaire général. Aucune image de patient n’est prise ni diffusée sans son consentement écrit. Aucune image de mineur n’est diffusée sans l’accord de ses parents.</w:t>
      </w:r>
    </w:p>
    <w:p>
      <w:pPr>
        <w:pStyle w:val="Heading2"/>
      </w:pPr>
      <w:r>
        <w:t xml:space="preserve">Article 13 — Protection des données personnelles</w:t>
      </w:r>
    </w:p>
    <w:p>
      <w:pPr>
        <w:spacing w:after="120"/>
        <w:jc w:val="both"/>
      </w:pPr>
      <w:r>
        <w:t xml:space="preserve">L’association est responsable du traitement des données personnelles de ses membres. Le contact pour toute question est l’adresse électronique de l’association mentionnée à l’article 2 des statuts.</w:t>
      </w:r>
    </w:p>
    <w:p>
      <w:pPr>
        <w:spacing w:after="120"/>
        <w:jc w:val="both"/>
      </w:pPr>
      <w:r>
        <w:rPr>
          <w:b/>
          <w:bCs/>
        </w:rPr>
        <w:t xml:space="preserve">Données traitées :</w:t>
      </w:r>
      <w:r>
        <w:t xml:space="preserve"> identité, coordonnées, diplôme (pour l’admission), dates d’adhésion, paiements, participation aux activités et réponses aux questionnaires de l’association.</w:t>
      </w:r>
    </w:p>
    <w:p>
      <w:pPr>
        <w:spacing w:after="120"/>
        <w:jc w:val="both"/>
      </w:pPr>
      <w:r>
        <w:rPr>
          <w:b/>
          <w:bCs/>
        </w:rPr>
        <w:t xml:space="preserve">Finalités :</w:t>
      </w:r>
      <w:r>
        <w:t xml:space="preserve"> gestion des adhésions et des cotisations, communication, organisation des activités et respect des obligations légales (registre des membres, publications légales, registre UBO).</w:t>
      </w:r>
    </w:p>
    <w:p>
      <w:pPr>
        <w:spacing w:after="120"/>
        <w:jc w:val="both"/>
      </w:pPr>
      <w:r>
        <w:rPr>
          <w:b/>
          <w:bCs/>
        </w:rPr>
        <w:t xml:space="preserve">Accès :</w:t>
      </w:r>
      <w:r>
        <w:t xml:space="preserve"> seuls les administrateurs et les personnes qui en ont besoin pour leur mission ont accès aux données. Le registre des membres est consultable par les membres dans les conditions des statuts. Aucune liste de membres n’est communiquée à des tiers, sauf obligation légale ou accord de la personne. Un annuaire interne n’est établi qu’avec l’accord des membres concernés. Les numéros de registre national ne sont utilisés que pour les formalités légales et ne figurent dans aucun document diffusé aux membres.</w:t>
      </w:r>
    </w:p>
    <w:p>
      <w:pPr>
        <w:spacing w:after="120"/>
        <w:jc w:val="both"/>
      </w:pPr>
      <w:r>
        <w:rPr>
          <w:b/>
          <w:bCs/>
        </w:rPr>
        <w:t xml:space="preserve">Conservation :</w:t>
      </w:r>
      <w:r>
        <w:t xml:space="preserve"> les données sont conservées pendant l’adhésion et deux ans après celle-ci. Les pièces comptables sont conservées pendant les délais légaux.</w:t>
      </w:r>
    </w:p>
    <w:p>
      <w:pPr>
        <w:spacing w:after="120"/>
        <w:jc w:val="both"/>
      </w:pPr>
      <w:r>
        <w:rPr>
          <w:b/>
          <w:bCs/>
        </w:rPr>
        <w:t xml:space="preserve">Droits :</w:t>
      </w:r>
      <w:r>
        <w:t xml:space="preserve"> chaque membre peut accéder à ses données, les faire rectifier ou supprimer, et s’opposer à certains traitements, en écrivant à l’adresse ci-dessus. Il peut introduire une plainte auprès de l’Autorité de protection des données.</w:t>
      </w:r>
    </w:p>
    <w:p>
      <w:pPr>
        <w:pStyle w:val="Heading2"/>
      </w:pPr>
      <w:r>
        <w:t xml:space="preserve">Article 14 — Modification et entrée en vigueur</w:t>
      </w:r>
    </w:p>
    <w:p>
      <w:pPr>
        <w:spacing w:after="120"/>
        <w:jc w:val="both"/>
      </w:pPr>
      <w:r>
        <w:t xml:space="preserve">Le présent règlement est modifié par l’assemblée générale, à la majorité simple, sur un point inscrit à l’ordre du jour. Toute modification s’accompagne de la mise à jour de la date de la dernière version approuvée, mentionnée à l’article 35 des statuts.</w:t>
      </w:r>
    </w:p>
    <w:p>
      <w:pPr>
        <w:spacing w:after="120"/>
        <w:jc w:val="both"/>
      </w:pPr>
      <w:r>
        <w:t xml:space="preserve">Il entre en vigueur le jour de son approbation par l’assemblée générale du </w:t>
      </w:r>
      <w:r>
        <w:t xml:space="preserve">3 octobre 2026</w:t>
      </w:r>
      <w:r>
        <w:t xml:space="preserve">.</w:t>
      </w:r>
    </w:p>
    <w:sectPr>
      <w:headerReference w:type="default" r:id="rId6"/>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66666"/>
        <w:sz w:val="16"/>
        <w:szCs w:val="16"/>
      </w:rPr>
      <w:t xml:space="preserve">ROI ABIC — adopté par l’AG du 3 octobre 2026 — page </w:t>
    </w:r>
    <w:r>
      <w:rPr>
        <w:color w:val="666666"/>
        <w:sz w:val="16"/>
        <w:szCs w:val="16"/>
      </w:rPr>
      <w:fldChar w:fldCharType="begin"/>
      <w:instrText xml:space="preserve">PAGE</w:instrText>
      <w:fldChar w:fldCharType="separate"/>
      <w:fldChar w:fldCharType="end"/>
    </w:r>
    <w:r>
      <w:rPr>
        <w:color w:val="666666"/>
        <w:sz w:val="16"/>
        <w:szCs w:val="16"/>
      </w:rPr>
      <w:t xml:space="preserve"> / </w:t>
    </w:r>
    <w:r>
      <w:rPr>
        <w:color w:val="666666"/>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66666"/>
        <w:sz w:val="16"/>
        <w:szCs w:val="16"/>
      </w:rPr>
      <w:t xml:space="preserve">ABIC ASBL — Association Belge des Infirmiers Camerounais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67" w:hanging="284"/>
      </w:pPr>
    </w:lvl>
    <w:lvl w:ilvl="1" w15:tentative="1">
      <w:start w:val="1"/>
      <w:numFmt w:val="bullet"/>
      <w:lvlText w:val="–"/>
      <w:lvlJc w:val="left"/>
      <w:pPr>
        <w:ind w:left="1134" w:hanging="284"/>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ing1">
    <w:name w:val="Heading 1"/>
    <w:basedOn w:val="Normal"/>
    <w:next w:val="Normal"/>
    <w:qFormat/>
    <w:pPr>
      <w:keepNext/>
      <w:spacing w:before="360" w:after="160"/>
      <w:outlineLvl w:val="0"/>
    </w:pPr>
    <w:rPr>
      <w:rFonts w:ascii="Calibri" w:cs="Calibri" w:eastAsia="Calibri" w:hAnsi="Calibri"/>
      <w:b/>
      <w:bCs/>
      <w:caps/>
      <w:color w:val="1F4E79"/>
      <w:sz w:val="26"/>
      <w:szCs w:val="26"/>
    </w:rPr>
  </w:style>
  <w:style w:type="paragraph" w:styleId="Heading2">
    <w:name w:val="Heading 2"/>
    <w:basedOn w:val="Normal"/>
    <w:next w:val="Normal"/>
    <w:qFormat/>
    <w:pPr>
      <w:keepNext/>
      <w:spacing w:before="220" w:after="100"/>
      <w:outlineLvl w:val="1"/>
    </w:pPr>
    <w:rPr>
      <w:rFonts w:ascii="Calibri" w:cs="Calibri" w:eastAsia="Calibri" w:hAnsi="Calibri"/>
      <w:b/>
      <w:bCs/>
      <w:color w:val="1F4E79"/>
      <w:sz w:val="23"/>
      <w:szCs w:val="23"/>
    </w:rPr>
  </w:style>
  <w:style w:type="paragraph" w:styleId="Heading3">
    <w:name w:val="Heading 3"/>
    <w:basedOn w:val="Normal"/>
    <w:next w:val="Normal"/>
    <w:qFormat/>
    <w:pPr>
      <w:keepNext/>
      <w:spacing w:before="160" w:after="80"/>
      <w:outlineLvl w:val="2"/>
    </w:pPr>
    <w:rPr>
      <w:rFonts w:ascii="Calibri" w:cs="Calibri" w:eastAsia="Calibri" w:hAnsi="Calibri"/>
      <w:b/>
      <w:bCs/>
      <w:color w:val="333333"/>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ROI ABIC</dc:title>
  <dc:creator>ABIC ASBL</dc:creator>
  <cp:lastModifiedBy>Un-named</cp:lastModifiedBy>
  <cp:revision>1</cp:revision>
  <dcterms:created xsi:type="dcterms:W3CDTF">2026-11-03T00:20:48.668Z</dcterms:created>
  <dcterms:modified xsi:type="dcterms:W3CDTF">2026-11-03T12:45:00Z</dcterms:modified>
</cp:coreProperties>
</file>

<file path=docProps/custom.xml><?xml version="1.0" encoding="utf-8"?>
<Properties xmlns="http://schemas.openxmlformats.org/officeDocument/2006/custom-properties" xmlns:vt="http://schemas.openxmlformats.org/officeDocument/2006/docPropsVTypes"/>
</file>