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80"/>
        <w:jc w:val="center"/>
      </w:pPr>
      <w:r>
        <w:rPr>
          <w:rFonts w:ascii="Calibri" w:cs="Calibri" w:eastAsia="Calibri" w:hAnsi="Calibri"/>
          <w:b/>
          <w:bCs/>
          <w:color w:val="1F4E79"/>
          <w:sz w:val="32"/>
          <w:szCs w:val="32"/>
        </w:rPr>
        <w:t xml:space="preserve">STATUTS DE L’ASBL ABIC</w:t>
      </w:r>
    </w:p>
    <w:p>
      <w:pPr>
        <w:spacing w:after="240"/>
        <w:jc w:val="center"/>
      </w:pPr>
      <w:r>
        <w:rPr>
          <w:i/>
          <w:iCs/>
          <w:color w:val="666666"/>
          <w:sz w:val="22"/>
          <w:szCs w:val="22"/>
        </w:rPr>
        <w:t xml:space="preserve">Association Belge des Infirmiers Camerounais — texte coordonné</w:t>
      </w:r>
    </w:p>
    <w:p>
      <w:pPr>
        <w:spacing w:after="240"/>
        <w:jc w:val="center"/>
      </w:pPr>
      <w:r>
        <w:rPr>
          <w:i/>
          <w:iCs/>
          <w:color w:val="666666"/>
          <w:sz w:val="22"/>
          <w:szCs w:val="22"/>
        </w:rPr>
        <w:t xml:space="preserve">Adoptés par l’assemblée générale du 3 octobre 2026, à Charleroi</w:t>
      </w:r>
    </w:p>
    <w:p>
      <w:pPr>
        <w:spacing w:after="120"/>
        <w:jc w:val="center"/>
      </w:pPr>
      <w:r>
        <w:t xml:space="preserve">N° d’entreprise : BE 1001.977.831 — RPM Hainaut, division Charleroi</w:t>
      </w:r>
    </w:p>
    <w:p>
      <w:pPr>
        <w:pBdr>
          <w:bottom w:val="single" w:color="1F4E79" w:sz="6" w:space="1"/>
        </w:pBdr>
        <w:spacing w:after="200"/>
      </w:pPr>
    </w:p>
    <w:p>
      <w:pPr>
        <w:pStyle w:val="Heading1"/>
      </w:pPr>
      <w:r>
        <w:t xml:space="preserve">Préambule</w:t>
      </w:r>
    </w:p>
    <w:p>
      <w:pPr>
        <w:spacing w:after="120"/>
        <w:jc w:val="both"/>
      </w:pPr>
      <w:r>
        <w:t xml:space="preserve">Considérant la nécessité de sauvegarder et de promouvoir les valeurs de solidarité et d’entraide, au niveau national et international, dans le respect de la dignité humaine ;</w:t>
      </w:r>
    </w:p>
    <w:p>
      <w:pPr>
        <w:spacing w:after="120"/>
        <w:jc w:val="both"/>
      </w:pPr>
      <w:r>
        <w:t xml:space="preserve">Considérant la nécessité de promouvoir et de développer l’accès à des soins de qualité pour les personnes dans le besoin ;</w:t>
      </w:r>
    </w:p>
    <w:p>
      <w:pPr>
        <w:spacing w:after="120"/>
        <w:jc w:val="both"/>
      </w:pPr>
      <w:r>
        <w:t xml:space="preserve">Considérant la nécessité de rassembler, de représenter et de défendre les soignants et les praticiens de l’art infirmier dans les systèmes de santé national et international ;</w:t>
      </w:r>
    </w:p>
    <w:p>
      <w:pPr>
        <w:spacing w:after="120"/>
        <w:jc w:val="both"/>
      </w:pPr>
      <w:r>
        <w:t xml:space="preserve">Considérant l’importance de développer le savoir infirmier par la formation et la pratique continues ;</w:t>
      </w:r>
    </w:p>
    <w:p>
      <w:pPr>
        <w:spacing w:after="120"/>
        <w:jc w:val="both"/>
      </w:pPr>
      <w:r>
        <w:t xml:space="preserve">Considérant la nécessité d’apporter une assistance sanitaire aux personnes dans le besoin, en Belgique, au Cameroun et ailleurs, et de disposer d’un organe qui soit le porte-parole de l’association auprès des autorités et institutions ;</w:t>
      </w:r>
    </w:p>
    <w:p>
      <w:pPr>
        <w:spacing w:after="120"/>
        <w:jc w:val="both"/>
      </w:pPr>
      <w:r>
        <w:t xml:space="preserve">l’association, constituée le 25 mars 2023, adopte les présents statuts coordonnés, qui remplacent intégralement ses statuts antérieurs.</w:t>
      </w:r>
    </w:p>
    <w:p>
      <w:pPr>
        <w:pStyle w:val="Heading1"/>
      </w:pPr>
      <w:r>
        <w:t xml:space="preserve">Titre I — Dénomination, forme, siège, durée</w:t>
      </w:r>
    </w:p>
    <w:p>
      <w:pPr>
        <w:pStyle w:val="Heading2"/>
      </w:pPr>
      <w:r>
        <w:t xml:space="preserve">Article 1 — Dénomination et forme</w:t>
      </w:r>
    </w:p>
    <w:p>
      <w:pPr>
        <w:spacing w:after="120"/>
        <w:jc w:val="both"/>
      </w:pPr>
      <w:r>
        <w:t xml:space="preserve">L’association est une association sans but lucratif (ASBL) régie par le Code des sociétés et des associations (ci-après « CSA »). Elle porte le nom « Association Belge des Infirmiers Camerounais », en abrégé « ABIC ».</w:t>
      </w:r>
    </w:p>
    <w:p>
      <w:pPr>
        <w:spacing w:after="120"/>
        <w:jc w:val="both"/>
      </w:pPr>
      <w:r>
        <w:t xml:space="preserve">Tous les actes, factures, annonces, publications, lettres, sites internet et autres documents émanant de l’association mentionnent sa dénomination, précédée ou suivie des mots « association sans but lucratif » ou de l’abréviation « ASBL », l’adresse de son siège, son numéro d’entreprise et la mention « RPM » suivie du tribunal de son siège.</w:t>
      </w:r>
    </w:p>
    <w:p>
      <w:pPr>
        <w:spacing w:after="120"/>
        <w:jc w:val="both"/>
      </w:pPr>
      <w:r>
        <w:t xml:space="preserve">L’association est apolitique et non confessionnelle.</w:t>
      </w:r>
    </w:p>
    <w:p>
      <w:pPr>
        <w:pStyle w:val="Heading2"/>
      </w:pPr>
      <w:r>
        <w:t xml:space="preserve">Article 2 — Siège, adresse électronique et site internet</w:t>
      </w:r>
    </w:p>
    <w:p>
      <w:pPr>
        <w:spacing w:after="120"/>
        <w:jc w:val="both"/>
      </w:pPr>
      <w:r>
        <w:t xml:space="preserve">Le siège de l’association est établi en Région wallonne, Avenue Paul Pastur 211, 6032 Mont-sur-Marchienne (Charleroi).</w:t>
      </w:r>
    </w:p>
    <w:p>
      <w:pPr>
        <w:spacing w:after="120"/>
        <w:jc w:val="both"/>
      </w:pPr>
      <w:r>
        <w:t xml:space="preserve">Le conseil d’administration peut transférer le siège en Belgique, pour autant que ce transfert n’impose pas de changer la langue des statuts. Il est habilité à adapter les statuts en conséquence et à faire publier cette modification.</w:t>
      </w:r>
    </w:p>
    <w:p>
      <w:pPr>
        <w:spacing w:after="120"/>
        <w:jc w:val="both"/>
      </w:pPr>
      <w:r>
        <w:t xml:space="preserve">L’adresse électronique de l’association est inficamer@outlook.com et son site internet est www.abic-asbl.com. Toute communication adressée par un membre à cette adresse électronique est réputée valablement faite. Le conseil d’administration peut modifier ces adresses.</w:t>
      </w:r>
    </w:p>
    <w:p>
      <w:pPr>
        <w:pStyle w:val="Heading2"/>
      </w:pPr>
      <w:r>
        <w:t xml:space="preserve">Article 3 — Langue</w:t>
      </w:r>
    </w:p>
    <w:p>
      <w:pPr>
        <w:spacing w:after="120"/>
        <w:jc w:val="both"/>
      </w:pPr>
      <w:r>
        <w:t xml:space="preserve">Les statuts, les procès-verbaux et les actes officiels de l’association sont rédigés en français. Dans ses activités, l’association peut également utiliser l’anglais, le néerlandais et l’allemand.</w:t>
      </w:r>
    </w:p>
    <w:p>
      <w:pPr>
        <w:pStyle w:val="Heading2"/>
      </w:pPr>
      <w:r>
        <w:t xml:space="preserve">Article 4 — Durée</w:t>
      </w:r>
    </w:p>
    <w:p>
      <w:pPr>
        <w:spacing w:after="120"/>
        <w:jc w:val="both"/>
      </w:pPr>
      <w:r>
        <w:t xml:space="preserve">L’association est constituée pour une durée indéterminée. Elle peut être dissoute à tout moment, conformément à l’article 22 et au titre VIII.</w:t>
      </w:r>
    </w:p>
    <w:p>
      <w:pPr>
        <w:pStyle w:val="Heading1"/>
      </w:pPr>
      <w:r>
        <w:t xml:space="preserve">Titre II — But et activités</w:t>
      </w:r>
    </w:p>
    <w:p>
      <w:pPr>
        <w:pStyle w:val="Heading2"/>
      </w:pPr>
      <w:r>
        <w:t xml:space="preserve">Article 5 — But désintéressé</w:t>
      </w:r>
    </w:p>
    <w:p>
      <w:pPr>
        <w:spacing w:after="120"/>
        <w:jc w:val="both"/>
      </w:pPr>
      <w:r>
        <w:t xml:space="preserve">L’association a pour but désintéressé :</w:t>
      </w:r>
    </w:p>
    <w:p>
      <w:pPr>
        <w:tabs>
          <w:tab w:val="left" w:pos="567"/>
        </w:tabs>
        <w:spacing w:after="80"/>
        <w:ind w:left="567" w:hanging="567"/>
        <w:jc w:val="both"/>
      </w:pPr>
      <w:r>
        <w:t xml:space="preserve">1°	</w:t>
      </w:r>
      <w:r>
        <w:t xml:space="preserve">de promouvoir le développement et la qualité des soins infirmiers et des disciplines connexes ;</w:t>
      </w:r>
    </w:p>
    <w:p>
      <w:pPr>
        <w:tabs>
          <w:tab w:val="left" w:pos="567"/>
        </w:tabs>
        <w:spacing w:after="80"/>
        <w:ind w:left="567" w:hanging="567"/>
        <w:jc w:val="both"/>
      </w:pPr>
      <w:r>
        <w:t xml:space="preserve">2°	</w:t>
      </w:r>
      <w:r>
        <w:t xml:space="preserve">d’améliorer l’accès à des soins de qualité pour les populations, en Belgique comme en Afrique, en particulier au Cameroun ;</w:t>
      </w:r>
    </w:p>
    <w:p>
      <w:pPr>
        <w:tabs>
          <w:tab w:val="left" w:pos="567"/>
        </w:tabs>
        <w:spacing w:after="80"/>
        <w:ind w:left="567" w:hanging="567"/>
        <w:jc w:val="both"/>
      </w:pPr>
      <w:r>
        <w:t xml:space="preserve">3°	</w:t>
      </w:r>
      <w:r>
        <w:t xml:space="preserve">de rassembler, de défendre et de représenter les infirmières et infirmiers, ainsi que les futurs professionnels de l’art infirmier, notamment dans l’exercice de leur profession ;</w:t>
      </w:r>
    </w:p>
    <w:p>
      <w:pPr>
        <w:tabs>
          <w:tab w:val="left" w:pos="567"/>
        </w:tabs>
        <w:spacing w:after="80"/>
        <w:ind w:left="567" w:hanging="567"/>
        <w:jc w:val="both"/>
      </w:pPr>
      <w:r>
        <w:t xml:space="preserve">4°	</w:t>
      </w:r>
      <w:r>
        <w:t xml:space="preserve">de développer la solidarité et l’entraide entre ses membres.</w:t>
      </w:r>
    </w:p>
    <w:p>
      <w:pPr>
        <w:pStyle w:val="Heading2"/>
      </w:pPr>
      <w:r>
        <w:t xml:space="preserve">Article 6 — Activités</w:t>
      </w:r>
    </w:p>
    <w:p>
      <w:pPr>
        <w:spacing w:after="120"/>
        <w:jc w:val="both"/>
      </w:pPr>
      <w:r>
        <w:t xml:space="preserve">Pour réaliser son but, l’association peut notamment :</w:t>
      </w:r>
    </w:p>
    <w:p>
      <w:pPr>
        <w:tabs>
          <w:tab w:val="left" w:pos="567"/>
        </w:tabs>
        <w:spacing w:after="80"/>
        <w:ind w:left="567" w:hanging="567"/>
        <w:jc w:val="both"/>
      </w:pPr>
      <w:r>
        <w:t xml:space="preserve">1°	</w:t>
      </w:r>
      <w:r>
        <w:t xml:space="preserve">rassembler les infirmières et infirmiers exerçant en Belgique et favoriser leur épanouissement professionnel et personnel ;</w:t>
      </w:r>
    </w:p>
    <w:p>
      <w:pPr>
        <w:tabs>
          <w:tab w:val="left" w:pos="567"/>
        </w:tabs>
        <w:spacing w:after="80"/>
        <w:ind w:left="567" w:hanging="567"/>
        <w:jc w:val="both"/>
      </w:pPr>
      <w:r>
        <w:t xml:space="preserve">2°	</w:t>
      </w:r>
      <w:r>
        <w:t xml:space="preserve">organiser des formations continues, conférences, colloques et échanges de pratiques ;</w:t>
      </w:r>
    </w:p>
    <w:p>
      <w:pPr>
        <w:tabs>
          <w:tab w:val="left" w:pos="567"/>
        </w:tabs>
        <w:spacing w:after="80"/>
        <w:ind w:left="567" w:hanging="567"/>
        <w:jc w:val="both"/>
      </w:pPr>
      <w:r>
        <w:t xml:space="preserve">3°	</w:t>
      </w:r>
      <w:r>
        <w:t xml:space="preserve">développer, accompagner et soutenir des projets de santé communautaire en Afrique, en particulier au Cameroun, notamment par l’envoi de matériel médical, l’organisation de missions humanitaires ou la participation à de telles missions, et la formation de professionnels de santé ;</w:t>
      </w:r>
    </w:p>
    <w:p>
      <w:pPr>
        <w:tabs>
          <w:tab w:val="left" w:pos="567"/>
        </w:tabs>
        <w:spacing w:after="80"/>
        <w:ind w:left="567" w:hanging="567"/>
        <w:jc w:val="both"/>
      </w:pPr>
      <w:r>
        <w:t xml:space="preserve">4°	</w:t>
      </w:r>
      <w:r>
        <w:t xml:space="preserve">nouer des partenariats avec des associations, hôpitaux, institutions et organisations, en Belgique et à l’étranger ;</w:t>
      </w:r>
    </w:p>
    <w:p>
      <w:pPr>
        <w:tabs>
          <w:tab w:val="left" w:pos="567"/>
        </w:tabs>
        <w:spacing w:after="80"/>
        <w:ind w:left="567" w:hanging="567"/>
        <w:jc w:val="both"/>
      </w:pPr>
      <w:r>
        <w:t xml:space="preserve">5°	</w:t>
      </w:r>
      <w:r>
        <w:t xml:space="preserve">organiser des événements, notamment des soirées de gala, et toute action de collecte de fonds destinée à financer ses projets ;</w:t>
      </w:r>
    </w:p>
    <w:p>
      <w:pPr>
        <w:tabs>
          <w:tab w:val="left" w:pos="567"/>
        </w:tabs>
        <w:spacing w:after="80"/>
        <w:ind w:left="567" w:hanging="567"/>
        <w:jc w:val="both"/>
      </w:pPr>
      <w:r>
        <w:t xml:space="preserve">6°	</w:t>
      </w:r>
      <w:r>
        <w:t xml:space="preserve">créer ou gérer, seule ou avec des partenaires, des structures médico-sociales telles que des maisons médicales, des crèches, des maisons de repos et de soins ou des services de soins à domicile, ainsi qu’un centre de formation d’aides-soignants ;</w:t>
      </w:r>
    </w:p>
    <w:p>
      <w:pPr>
        <w:tabs>
          <w:tab w:val="left" w:pos="567"/>
        </w:tabs>
        <w:spacing w:after="80"/>
        <w:ind w:left="567" w:hanging="567"/>
        <w:jc w:val="both"/>
      </w:pPr>
      <w:r>
        <w:t xml:space="preserve">7°	</w:t>
      </w:r>
      <w:r>
        <w:t xml:space="preserve">informer, accompagner et représenter ses membres auprès des autorités et institutions.</w:t>
      </w:r>
    </w:p>
    <w:p>
      <w:pPr>
        <w:spacing w:after="120"/>
        <w:jc w:val="both"/>
      </w:pPr>
      <w:r>
        <w:t xml:space="preserve">L’association peut accomplir tous les actes se rapportant directement ou indirectement à son but, y compris des activités économiques dont les bénéfices sont entièrement affectés à la réalisation de ce but. Elle ne peut distribuer ni procurer, directement ou indirectement, aucun avantage patrimonial à ses fondateurs, membres, administrateurs ou à toute autre personne, sauf dans le but désintéressé déterminé par les présents statuts.</w:t>
      </w:r>
    </w:p>
    <w:p>
      <w:pPr>
        <w:pStyle w:val="Heading1"/>
      </w:pPr>
      <w:r>
        <w:t xml:space="preserve">Titre III — Membres</w:t>
      </w:r>
    </w:p>
    <w:p>
      <w:pPr>
        <w:pStyle w:val="Heading2"/>
      </w:pPr>
      <w:r>
        <w:t xml:space="preserve">Article 7 — Catégories de membres</w:t>
      </w:r>
    </w:p>
    <w:p>
      <w:pPr>
        <w:spacing w:after="120"/>
        <w:jc w:val="both"/>
      </w:pPr>
      <w:r>
        <w:t xml:space="preserve">L’association comprend des membres effectifs, des membres adhérents et des membres d’honneur.</w:t>
      </w:r>
    </w:p>
    <w:p>
      <w:pPr>
        <w:spacing w:after="120"/>
        <w:jc w:val="both"/>
      </w:pPr>
      <w:r>
        <w:t xml:space="preserve">Seuls les membres effectifs sont membres au sens du CSA. Ils jouissent de la plénitude des droits prévus par la loi et les statuts, dont le droit de vote à l’assemblée générale. Leur nombre est illimité mais ne peut être inférieur à trois.</w:t>
      </w:r>
    </w:p>
    <w:p>
      <w:pPr>
        <w:spacing w:after="120"/>
        <w:jc w:val="both"/>
      </w:pPr>
      <w:r>
        <w:t xml:space="preserve">Les membres adhérents et les membres d’honneur participent aux activités de l’association. Ils n’ont pas le droit de vote et ne sont pas membres au sens du CSA.</w:t>
      </w:r>
    </w:p>
    <w:p>
      <w:pPr>
        <w:pStyle w:val="Heading2"/>
      </w:pPr>
      <w:r>
        <w:t xml:space="preserve">Article 8 — Conditions d’admission</w:t>
      </w:r>
    </w:p>
    <w:p>
      <w:pPr>
        <w:tabs>
          <w:tab w:val="left" w:pos="567"/>
        </w:tabs>
        <w:spacing w:after="80"/>
        <w:ind w:left="567" w:hanging="567"/>
        <w:jc w:val="both"/>
      </w:pPr>
      <w:r>
        <w:t xml:space="preserve">§ 1.	</w:t>
      </w:r>
      <w:r>
        <w:t xml:space="preserve">Peut être admise comme </w:t>
      </w:r>
      <w:r>
        <w:rPr>
          <w:b/>
          <w:bCs/>
        </w:rPr>
        <w:t xml:space="preserve">membre effectif</w:t>
      </w:r>
      <w:r>
        <w:t xml:space="preserve"> toute personne physique qui remplit les conditions suivantes :</w:t>
      </w:r>
    </w:p>
    <w:p>
      <w:pPr>
        <w:tabs>
          <w:tab w:val="left" w:pos="567"/>
        </w:tabs>
        <w:spacing w:after="80"/>
        <w:ind w:left="567" w:hanging="567"/>
        <w:jc w:val="both"/>
      </w:pPr>
      <w:r>
        <w:t xml:space="preserve">1°	</w:t>
      </w:r>
      <w:r>
        <w:t xml:space="preserve">être titulaire d’un diplôme d’infirmier ou d’infirmière, ou d’un titre équivalent, reconnu ou en cours de reconnaissance en Belgique ;</w:t>
      </w:r>
    </w:p>
    <w:p>
      <w:pPr>
        <w:tabs>
          <w:tab w:val="left" w:pos="567"/>
        </w:tabs>
        <w:spacing w:after="80"/>
        <w:ind w:left="567" w:hanging="567"/>
        <w:jc w:val="both"/>
      </w:pPr>
      <w:r>
        <w:t xml:space="preserve">2°	</w:t>
      </w:r>
      <w:r>
        <w:t xml:space="preserve">exercer ou avoir exercé la profession en Belgique ;</w:t>
      </w:r>
    </w:p>
    <w:p>
      <w:pPr>
        <w:tabs>
          <w:tab w:val="left" w:pos="567"/>
        </w:tabs>
        <w:spacing w:after="80"/>
        <w:ind w:left="567" w:hanging="567"/>
        <w:jc w:val="both"/>
      </w:pPr>
      <w:r>
        <w:t xml:space="preserve">3°	</w:t>
      </w:r>
      <w:r>
        <w:t xml:space="preserve">adhérer aux statuts, au règlement d’ordre intérieur et à la charte des membres ;</w:t>
      </w:r>
    </w:p>
    <w:p>
      <w:pPr>
        <w:tabs>
          <w:tab w:val="left" w:pos="567"/>
        </w:tabs>
        <w:spacing w:after="80"/>
        <w:ind w:left="567" w:hanging="567"/>
        <w:jc w:val="both"/>
      </w:pPr>
      <w:r>
        <w:t xml:space="preserve">4°	</w:t>
      </w:r>
      <w:r>
        <w:t xml:space="preserve">s’acquitter du droit d’entrée et de la cotisation.</w:t>
      </w:r>
    </w:p>
    <w:p>
      <w:pPr>
        <w:spacing w:after="120"/>
        <w:jc w:val="both"/>
      </w:pPr>
      <w:r>
        <w:t xml:space="preserve">L’association est ouverte à toute personne, sans distinction d’origine ou de nationalité.</w:t>
      </w:r>
    </w:p>
    <w:p>
      <w:pPr>
        <w:tabs>
          <w:tab w:val="left" w:pos="567"/>
        </w:tabs>
        <w:spacing w:after="80"/>
        <w:ind w:left="567" w:hanging="567"/>
        <w:jc w:val="both"/>
      </w:pPr>
      <w:r>
        <w:t xml:space="preserve">§ 2.	</w:t>
      </w:r>
      <w:r>
        <w:t xml:space="preserve">Peut être admise comme </w:t>
      </w:r>
      <w:r>
        <w:rPr>
          <w:b/>
          <w:bCs/>
        </w:rPr>
        <w:t xml:space="preserve">membre adhérent</w:t>
      </w:r>
      <w:r>
        <w:t xml:space="preserve"> toute personne physique ou morale qui souhaite participer aux activités et soutenir le but de l’association, notamment les étudiants en soins infirmiers, les aides-soignants, les autres professionnels de la santé et les sympathisants.</w:t>
      </w:r>
    </w:p>
    <w:p>
      <w:pPr>
        <w:tabs>
          <w:tab w:val="left" w:pos="567"/>
        </w:tabs>
        <w:spacing w:after="80"/>
        <w:ind w:left="567" w:hanging="567"/>
        <w:jc w:val="both"/>
      </w:pPr>
      <w:r>
        <w:t xml:space="preserve">§ 3.	</w:t>
      </w:r>
      <w:r>
        <w:t xml:space="preserve">Le conseil d’administration peut conférer le titre de </w:t>
      </w:r>
      <w:r>
        <w:rPr>
          <w:b/>
          <w:bCs/>
        </w:rPr>
        <w:t xml:space="preserve">membre d’honneur</w:t>
      </w:r>
      <w:r>
        <w:t xml:space="preserve"> à toute personne qui a rendu des services particuliers à l’association, notamment au parrain et à la marraine de l’association. Ce titre est gratuit.</w:t>
      </w:r>
    </w:p>
    <w:p>
      <w:pPr>
        <w:pStyle w:val="Heading2"/>
      </w:pPr>
      <w:r>
        <w:t xml:space="preserve">Article 9 — Procédure d’admission</w:t>
      </w:r>
    </w:p>
    <w:p>
      <w:pPr>
        <w:spacing w:after="120"/>
        <w:jc w:val="both"/>
      </w:pPr>
      <w:r>
        <w:t xml:space="preserve">La demande d’admission est adressée par écrit au conseil d’administration, par courrier, par e-mail ou au moyen du formulaire en ligne de l’association. Le conseil d’administration statue à la majorité simple lors de sa plus prochaine réunion. Sa décision ne doit pas être motivée ; elle est communiquée par écrit au candidat.</w:t>
      </w:r>
    </w:p>
    <w:p>
      <w:pPr>
        <w:spacing w:after="120"/>
        <w:jc w:val="both"/>
      </w:pPr>
      <w:r>
        <w:t xml:space="preserve">Un candidat dont la demande a été refusée peut introduire une nouvelle demande après un délai de douze mois. Le conseil d’administration informe l’assemblée générale suivante des admissions intervenues.</w:t>
      </w:r>
    </w:p>
    <w:p>
      <w:pPr>
        <w:pStyle w:val="Heading2"/>
      </w:pPr>
      <w:r>
        <w:t xml:space="preserve">Article 10 — Démission et membre réputé démissionnaire</w:t>
      </w:r>
    </w:p>
    <w:p>
      <w:pPr>
        <w:tabs>
          <w:tab w:val="left" w:pos="567"/>
        </w:tabs>
        <w:spacing w:after="80"/>
        <w:ind w:left="567" w:hanging="567"/>
        <w:jc w:val="both"/>
      </w:pPr>
      <w:r>
        <w:t xml:space="preserve">§ 1.	</w:t>
      </w:r>
      <w:r>
        <w:t xml:space="preserve">Tout membre peut se retirer à tout moment de l’association en adressant sa démission par écrit (courrier ou e-mail) au conseil d’administration.</w:t>
      </w:r>
    </w:p>
    <w:p>
      <w:pPr>
        <w:tabs>
          <w:tab w:val="left" w:pos="567"/>
        </w:tabs>
        <w:spacing w:after="80"/>
        <w:ind w:left="567" w:hanging="567"/>
        <w:jc w:val="both"/>
      </w:pPr>
      <w:r>
        <w:t xml:space="preserve">§ 2.	</w:t>
      </w:r>
      <w:r>
        <w:t xml:space="preserve">Est réputé démissionnaire le membre effectif qui :</w:t>
      </w:r>
    </w:p>
    <w:p>
      <w:pPr>
        <w:tabs>
          <w:tab w:val="left" w:pos="567"/>
        </w:tabs>
        <w:spacing w:after="80"/>
        <w:ind w:left="567" w:hanging="567"/>
        <w:jc w:val="both"/>
      </w:pPr>
      <w:r>
        <w:t xml:space="preserve">1°	</w:t>
      </w:r>
      <w:r>
        <w:t xml:space="preserve">ne s’est pas acquitté de sa cotisation dans les six mois de son échéance, malgré trois rappels écrits ;</w:t>
      </w:r>
    </w:p>
    <w:p>
      <w:pPr>
        <w:tabs>
          <w:tab w:val="left" w:pos="567"/>
        </w:tabs>
        <w:spacing w:after="80"/>
        <w:ind w:left="567" w:hanging="567"/>
        <w:jc w:val="both"/>
      </w:pPr>
      <w:r>
        <w:t xml:space="preserve">2°	</w:t>
      </w:r>
      <w:r>
        <w:t xml:space="preserve">ne remplit plus les conditions d’admission prévues à l’article 8, § 1er, 1° à 3°.</w:t>
      </w:r>
    </w:p>
    <w:p>
      <w:pPr>
        <w:spacing w:after="120"/>
        <w:jc w:val="both"/>
      </w:pPr>
      <w:r>
        <w:t xml:space="preserve">Le conseil d’administration constate la démission et en informe l’intéressé par écrit.</w:t>
      </w:r>
    </w:p>
    <w:p>
      <w:pPr>
        <w:pStyle w:val="Heading2"/>
      </w:pPr>
      <w:r>
        <w:t xml:space="preserve">Article 11 — Avertissement, suspension et exclusion</w:t>
      </w:r>
    </w:p>
    <w:p>
      <w:pPr>
        <w:tabs>
          <w:tab w:val="left" w:pos="567"/>
        </w:tabs>
        <w:spacing w:after="80"/>
        <w:ind w:left="567" w:hanging="567"/>
        <w:jc w:val="both"/>
      </w:pPr>
      <w:r>
        <w:t xml:space="preserve">§ 1.	</w:t>
      </w:r>
      <w:r>
        <w:t xml:space="preserve">L’exclusion d’un membre ne peut être prononcée que par l’assemblée générale, à la majorité des deux tiers des voix des membres présents ou représentés, après que l’intéressé a été invité à faire valoir ses moyens de défense.</w:t>
      </w:r>
    </w:p>
    <w:p>
      <w:pPr>
        <w:tabs>
          <w:tab w:val="left" w:pos="567"/>
        </w:tabs>
        <w:spacing w:after="80"/>
        <w:ind w:left="567" w:hanging="567"/>
        <w:jc w:val="both"/>
      </w:pPr>
      <w:r>
        <w:t xml:space="preserve">§ 2.	</w:t>
      </w:r>
      <w:r>
        <w:t xml:space="preserve">En cas de manquement grave aux statuts, au règlement d’ordre intérieur, à la charte des membres ou aux lois, le conseil d’administration peut, après avoir invité le membre à s’expliquer, lui adresser un avertissement écrit ou le suspendre jusqu’à la décision de l’assemblée générale. Pendant la suspension, le membre ne peut exercer aucun de ses droits de membre.</w:t>
      </w:r>
    </w:p>
    <w:p>
      <w:pPr>
        <w:tabs>
          <w:tab w:val="left" w:pos="567"/>
        </w:tabs>
        <w:spacing w:after="80"/>
        <w:ind w:left="567" w:hanging="567"/>
        <w:jc w:val="both"/>
      </w:pPr>
      <w:r>
        <w:t xml:space="preserve">§ 3.	</w:t>
      </w:r>
      <w:r>
        <w:t xml:space="preserve">Le retrait temporaire d’un membre des groupes de communication de l’association (notamment WhatsApp), décidé en application de la charte des membres, est une mesure de modération. Il ne constitue ni une suspension ni une exclusion de l’association.</w:t>
      </w:r>
    </w:p>
    <w:p>
      <w:pPr>
        <w:tabs>
          <w:tab w:val="left" w:pos="567"/>
        </w:tabs>
        <w:spacing w:after="80"/>
        <w:ind w:left="567" w:hanging="567"/>
        <w:jc w:val="both"/>
      </w:pPr>
      <w:r>
        <w:t xml:space="preserve">§ 4.	</w:t>
      </w:r>
      <w:r>
        <w:t xml:space="preserve">La procédure disciplinaire est précisée par le règlement d’ordre intérieur.</w:t>
      </w:r>
    </w:p>
    <w:p>
      <w:pPr>
        <w:pStyle w:val="Heading2"/>
      </w:pPr>
      <w:r>
        <w:t xml:space="preserve">Article 12 — Droits sur le patrimoine</w:t>
      </w:r>
    </w:p>
    <w:p>
      <w:pPr>
        <w:spacing w:after="120"/>
        <w:jc w:val="both"/>
      </w:pPr>
      <w:r>
        <w:t xml:space="preserve">Les membres démissionnaires, réputés démissionnaires ou exclus, ainsi que les ayants droit d’un membre décédé, n’ont aucun droit sur le patrimoine de l’association. Ils ne peuvent réclamer ni le remboursement des cotisations versées ou des apports effectués, ni un relevé ou une reddition de comptes, ni l’apposition de scellés ou un inventaire.</w:t>
      </w:r>
    </w:p>
    <w:p>
      <w:pPr>
        <w:pStyle w:val="Heading2"/>
      </w:pPr>
      <w:r>
        <w:t xml:space="preserve">Article 13 — Registre des membres</w:t>
      </w:r>
    </w:p>
    <w:p>
      <w:pPr>
        <w:spacing w:after="120"/>
        <w:jc w:val="both"/>
      </w:pPr>
      <w:r>
        <w:t xml:space="preserve">Le conseil d’administration tient au siège un registre des membres effectifs, le cas échéant sous forme électronique. Il y inscrit les admissions, démissions et exclusions dans les huit jours de la connaissance qu’il a de la décision.</w:t>
      </w:r>
    </w:p>
    <w:p>
      <w:pPr>
        <w:spacing w:after="120"/>
        <w:jc w:val="both"/>
      </w:pPr>
      <w:r>
        <w:t xml:space="preserve">Tous les membres effectifs peuvent consulter le registre au siège, sans déplacement de celui-ci. Les données du registre ne sont communiquées à des tiers que dans les cas prévus par la loi, notamment aux autorités, administrations, services et juridictions légalement habilités, qui y ont accès sans délai sur simple demande.</w:t>
      </w:r>
    </w:p>
    <w:p>
      <w:pPr>
        <w:pStyle w:val="Heading2"/>
      </w:pPr>
      <w:r>
        <w:t xml:space="preserve">Article 14 — Consultation des documents</w:t>
      </w:r>
    </w:p>
    <w:p>
      <w:pPr>
        <w:spacing w:after="120"/>
        <w:jc w:val="both"/>
      </w:pPr>
      <w:r>
        <w:t xml:space="preserve">Tout membre effectif peut consulter au siège le registre des membres, les procès-verbaux et décisions de l’assemblée générale et du conseil d’administration, ainsi que les documents comptables de l’association. Il adresse à cet effet une demande écrite au conseil d’administration, en précisant les documents visés. La consultation a lieu à une date convenue, dans le mois de la réception de la demande.</w:t>
      </w:r>
    </w:p>
    <w:p>
      <w:pPr>
        <w:pStyle w:val="Heading2"/>
      </w:pPr>
      <w:r>
        <w:t xml:space="preserve">Article 15 — Cotisations</w:t>
      </w:r>
    </w:p>
    <w:p>
      <w:pPr>
        <w:spacing w:after="120"/>
        <w:jc w:val="both"/>
      </w:pPr>
      <w:r>
        <w:t xml:space="preserve">Les membres effectifs paient un droit d’entrée lors de leur admission, puis une cotisation. Les membres adhérents paient une cotisation réduite. Les membres d’honneur sont dispensés de toute cotisation.</w:t>
      </w:r>
    </w:p>
    <w:p>
      <w:pPr>
        <w:spacing w:after="120"/>
        <w:jc w:val="both"/>
      </w:pPr>
      <w:r>
        <w:t xml:space="preserve">Les montants et les modalités de paiement sont fixés par l’assemblée générale, sur proposition du conseil d’administration. La cotisation des membres effectifs ne peut excéder 20 euros par mois, soit 240 euros par an, et le droit d’entrée 100 euros.</w:t>
      </w:r>
    </w:p>
    <w:p>
      <w:pPr>
        <w:pStyle w:val="Heading1"/>
      </w:pPr>
      <w:r>
        <w:t xml:space="preserve">Titre IV — Assemblée générale</w:t>
      </w:r>
    </w:p>
    <w:p>
      <w:pPr>
        <w:pStyle w:val="Heading2"/>
      </w:pPr>
      <w:r>
        <w:t xml:space="preserve">Article 16 — Composition et présidence</w:t>
      </w:r>
    </w:p>
    <w:p>
      <w:pPr>
        <w:spacing w:after="120"/>
        <w:jc w:val="both"/>
      </w:pPr>
      <w:r>
        <w:t xml:space="preserve">L’assemblée générale est composée de tous les membres effectifs. Les membres adhérents, les membres d’honneur et les personnes invitées par le conseil d’administration peuvent y assister sans droit de vote.</w:t>
      </w:r>
    </w:p>
    <w:p>
      <w:pPr>
        <w:spacing w:after="120"/>
        <w:jc w:val="both"/>
      </w:pPr>
      <w:r>
        <w:t xml:space="preserve">Elle est présidée par le président du conseil d’administration ou, à défaut, par le vice-président ou, à défaut, par un administrateur désigné par les administrateurs présents. Le président de séance désigne un secrétaire de séance et peut désigner un censeur de séance, chargé de veiller au bon déroulement des débats et au respect du temps de parole.</w:t>
      </w:r>
    </w:p>
    <w:p>
      <w:pPr>
        <w:pStyle w:val="Heading2"/>
      </w:pPr>
      <w:r>
        <w:t xml:space="preserve">Article 17 — Compétences</w:t>
      </w:r>
    </w:p>
    <w:p>
      <w:pPr>
        <w:spacing w:after="120"/>
        <w:jc w:val="both"/>
      </w:pPr>
      <w:r>
        <w:t xml:space="preserve">L’assemblée générale est seule compétente pour :</w:t>
      </w:r>
    </w:p>
    <w:p>
      <w:pPr>
        <w:tabs>
          <w:tab w:val="left" w:pos="567"/>
        </w:tabs>
        <w:spacing w:after="80"/>
        <w:ind w:left="567" w:hanging="567"/>
        <w:jc w:val="both"/>
      </w:pPr>
      <w:r>
        <w:t xml:space="preserve">1°	</w:t>
      </w:r>
      <w:r>
        <w:t xml:space="preserve">modifier les statuts ;</w:t>
      </w:r>
    </w:p>
    <w:p>
      <w:pPr>
        <w:tabs>
          <w:tab w:val="left" w:pos="567"/>
        </w:tabs>
        <w:spacing w:after="80"/>
        <w:ind w:left="567" w:hanging="567"/>
        <w:jc w:val="both"/>
      </w:pPr>
      <w:r>
        <w:t xml:space="preserve">2°	</w:t>
      </w:r>
      <w:r>
        <w:t xml:space="preserve">nommer et révoquer les administrateurs et les membres du bureau, conformément à l’article 24 ;</w:t>
      </w:r>
    </w:p>
    <w:p>
      <w:pPr>
        <w:tabs>
          <w:tab w:val="left" w:pos="567"/>
        </w:tabs>
        <w:spacing w:after="80"/>
        <w:ind w:left="567" w:hanging="567"/>
        <w:jc w:val="both"/>
      </w:pPr>
      <w:r>
        <w:t xml:space="preserve">3°	</w:t>
      </w:r>
      <w:r>
        <w:t xml:space="preserve">nommer et révoquer le commissaire éventuel et les vérificateurs aux comptes, et fixer leur rémunération éventuelle ;</w:t>
      </w:r>
    </w:p>
    <w:p>
      <w:pPr>
        <w:tabs>
          <w:tab w:val="left" w:pos="567"/>
        </w:tabs>
        <w:spacing w:after="80"/>
        <w:ind w:left="567" w:hanging="567"/>
        <w:jc w:val="both"/>
      </w:pPr>
      <w:r>
        <w:t xml:space="preserve">4°	</w:t>
      </w:r>
      <w:r>
        <w:t xml:space="preserve">donner décharge aux administrateurs, au commissaire éventuel et aux vérificateurs aux comptes, et décider d’introduire au nom de l’association une action contre eux ;</w:t>
      </w:r>
    </w:p>
    <w:p>
      <w:pPr>
        <w:tabs>
          <w:tab w:val="left" w:pos="567"/>
        </w:tabs>
        <w:spacing w:after="80"/>
        <w:ind w:left="567" w:hanging="567"/>
        <w:jc w:val="both"/>
      </w:pPr>
      <w:r>
        <w:t xml:space="preserve">5°	</w:t>
      </w:r>
      <w:r>
        <w:t xml:space="preserve">approuver les comptes annuels et le budget ;</w:t>
      </w:r>
    </w:p>
    <w:p>
      <w:pPr>
        <w:tabs>
          <w:tab w:val="left" w:pos="567"/>
        </w:tabs>
        <w:spacing w:after="80"/>
        <w:ind w:left="567" w:hanging="567"/>
        <w:jc w:val="both"/>
      </w:pPr>
      <w:r>
        <w:t xml:space="preserve">6°	</w:t>
      </w:r>
      <w:r>
        <w:t xml:space="preserve">exclure un membre ;</w:t>
      </w:r>
    </w:p>
    <w:p>
      <w:pPr>
        <w:tabs>
          <w:tab w:val="left" w:pos="567"/>
        </w:tabs>
        <w:spacing w:after="80"/>
        <w:ind w:left="567" w:hanging="567"/>
        <w:jc w:val="both"/>
      </w:pPr>
      <w:r>
        <w:t xml:space="preserve">7°	</w:t>
      </w:r>
      <w:r>
        <w:t xml:space="preserve">fixer le montant des cotisations dans les limites de l’article 15 ;</w:t>
      </w:r>
    </w:p>
    <w:p>
      <w:pPr>
        <w:tabs>
          <w:tab w:val="left" w:pos="567"/>
        </w:tabs>
        <w:spacing w:after="80"/>
        <w:ind w:left="567" w:hanging="567"/>
        <w:jc w:val="both"/>
      </w:pPr>
      <w:r>
        <w:t xml:space="preserve">8°	</w:t>
      </w:r>
      <w:r>
        <w:t xml:space="preserve">approuver et modifier le règlement d’ordre intérieur et la charte des membres ;</w:t>
      </w:r>
    </w:p>
    <w:p>
      <w:pPr>
        <w:tabs>
          <w:tab w:val="left" w:pos="567"/>
        </w:tabs>
        <w:spacing w:after="80"/>
        <w:ind w:left="567" w:hanging="567"/>
        <w:jc w:val="both"/>
      </w:pPr>
      <w:r>
        <w:t xml:space="preserve">9°	</w:t>
      </w:r>
      <w:r>
        <w:t xml:space="preserve">dissoudre l’association et décider de l’affectation de son patrimoine ;</w:t>
      </w:r>
    </w:p>
    <w:p>
      <w:pPr>
        <w:tabs>
          <w:tab w:val="left" w:pos="567"/>
        </w:tabs>
        <w:spacing w:after="80"/>
        <w:ind w:left="567" w:hanging="567"/>
        <w:jc w:val="both"/>
      </w:pPr>
      <w:r>
        <w:t xml:space="preserve">10°	</w:t>
      </w:r>
      <w:r>
        <w:t xml:space="preserve">transformer l’association dans les cas prévus par la loi, et faire ou accepter l’apport à titre gratuit d’une universalité ;</w:t>
      </w:r>
    </w:p>
    <w:p>
      <w:pPr>
        <w:tabs>
          <w:tab w:val="left" w:pos="567"/>
        </w:tabs>
        <w:spacing w:after="80"/>
        <w:ind w:left="567" w:hanging="567"/>
        <w:jc w:val="both"/>
      </w:pPr>
      <w:r>
        <w:t xml:space="preserve">11°	</w:t>
      </w:r>
      <w:r>
        <w:t xml:space="preserve">statuer dans tous les autres cas où la loi ou les statuts l’exigent.</w:t>
      </w:r>
    </w:p>
    <w:p>
      <w:pPr>
        <w:pStyle w:val="Heading2"/>
      </w:pPr>
      <w:r>
        <w:t xml:space="preserve">Article 18 — Réunions</w:t>
      </w:r>
    </w:p>
    <w:p>
      <w:pPr>
        <w:spacing w:after="120"/>
        <w:jc w:val="both"/>
      </w:pPr>
      <w:r>
        <w:t xml:space="preserve">L’assemblée générale ordinaire se réunit au moins une fois par an, dans les six mois de la clôture de l’exercice, notamment pour approuver les comptes de l’exercice écoulé et le budget.</w:t>
      </w:r>
    </w:p>
    <w:p>
      <w:pPr>
        <w:spacing w:after="120"/>
        <w:jc w:val="both"/>
      </w:pPr>
      <w:r>
        <w:t xml:space="preserve">Une assemblée générale extraordinaire peut être convoquée à tout moment par le conseil d’administration. Celui-ci est tenu de la convoquer lorsqu’un cinquième des membres effectifs en fait la demande par écrit, en précisant les points à inscrire à l’ordre du jour. Dans ce cas, la convocation est envoyée dans les vingt et un jours de la demande et l’assemblée se tient au plus tard le trentième jour suivant celle-ci.</w:t>
      </w:r>
    </w:p>
    <w:p>
      <w:pPr>
        <w:pStyle w:val="Heading2"/>
      </w:pPr>
      <w:r>
        <w:t xml:space="preserve">Article 19 — Convocation et ordre du jour</w:t>
      </w:r>
    </w:p>
    <w:p>
      <w:pPr>
        <w:spacing w:after="120"/>
        <w:jc w:val="both"/>
      </w:pPr>
      <w:r>
        <w:t xml:space="preserve">Le conseil d’administration convoque l’assemblée générale au moins quinze jours avant la réunion, par e-mail adressé à chaque membre effectif ou, pour les membres qui n’ont pas communiqué d’adresse électronique, par courrier ordinaire envoyé le même jour. Un rappel peut être adressé par messagerie.</w:t>
      </w:r>
    </w:p>
    <w:p>
      <w:pPr>
        <w:spacing w:after="120"/>
        <w:jc w:val="both"/>
      </w:pPr>
      <w:r>
        <w:t xml:space="preserve">La convocation mentionne l’ordre du jour, la date, l’heure, le lieu et, le cas échéant, les modalités de participation à distance. Elle est accompagnée des documents utiles, notamment les comptes et le budget soumis à l’approbation et la liste des candidats aux mandats à pourvoir. Lorsqu’elle porte sur une modification des statuts, elle contient le texte des modifications proposées.</w:t>
      </w:r>
    </w:p>
    <w:p>
      <w:pPr>
        <w:spacing w:after="120"/>
        <w:jc w:val="both"/>
      </w:pPr>
      <w:r>
        <w:t xml:space="preserve">Toute proposition signée par au moins un vingtième des membres effectifs et reçue par le conseil d’administration avant l’envoi de la convocation est portée à l’ordre du jour. L’assemblée générale ne délibère valablement que sur les points inscrits à l’ordre du jour.</w:t>
      </w:r>
    </w:p>
    <w:p>
      <w:pPr>
        <w:pStyle w:val="Heading2"/>
      </w:pPr>
      <w:r>
        <w:t xml:space="preserve">Article 20 — Participation à distance et procurations</w:t>
      </w:r>
    </w:p>
    <w:p>
      <w:pPr>
        <w:spacing w:after="120"/>
        <w:jc w:val="both"/>
      </w:pPr>
      <w:r>
        <w:t xml:space="preserve">Le conseil d’administration peut prévoir que les membres participent à l’assemblée générale à distance, au moyen d’un outil de communication électronique qui permet de les identifier, de suivre les débats en direct et d’exercer leur droit de vote. Les membres qui participent de cette manière sont réputés présents.</w:t>
      </w:r>
    </w:p>
    <w:p>
      <w:pPr>
        <w:spacing w:after="120"/>
        <w:jc w:val="both"/>
      </w:pPr>
      <w:r>
        <w:t xml:space="preserve">Chaque membre effectif peut se faire représenter par un autre membre effectif au moyen d’une procuration écrite, y compris par e-mail. Un membre ne peut être porteur de plus de deux procurations.</w:t>
      </w:r>
    </w:p>
    <w:p>
      <w:pPr>
        <w:pStyle w:val="Heading2"/>
      </w:pPr>
      <w:r>
        <w:t xml:space="preserve">Article 21 — Droit de vote et majorités</w:t>
      </w:r>
    </w:p>
    <w:p>
      <w:pPr>
        <w:spacing w:after="120"/>
        <w:jc w:val="both"/>
      </w:pPr>
      <w:r>
        <w:t xml:space="preserve">Chaque membre effectif en ordre de cotisation dispose d’une voix.</w:t>
      </w:r>
    </w:p>
    <w:p>
      <w:pPr>
        <w:spacing w:after="120"/>
        <w:jc w:val="both"/>
      </w:pPr>
      <w:r>
        <w:t xml:space="preserve">Sauf disposition légale ou statutaire contraire, les décisions sont prises à la majorité simple des voix des membres présents ou représentés. Les abstentions, les votes blancs et les votes nuls ne sont pas pris en compte. En cas de partage, la voix du président de séance est prépondérante.</w:t>
      </w:r>
    </w:p>
    <w:p>
      <w:pPr>
        <w:spacing w:after="120"/>
        <w:jc w:val="both"/>
      </w:pPr>
      <w:r>
        <w:t xml:space="preserve">Les votes ont lieu à main levée. Ils ont lieu à bulletin secret pour l’exclusion d’un membre, pour toute élection comptant plus de candidats que de mandats à pourvoir, et chaque fois qu’un membre présent le demande.</w:t>
      </w:r>
    </w:p>
    <w:p>
      <w:pPr>
        <w:pStyle w:val="Heading2"/>
      </w:pPr>
      <w:r>
        <w:t xml:space="preserve">Article 22 — Modification des statuts et dissolution</w:t>
      </w:r>
    </w:p>
    <w:p>
      <w:pPr>
        <w:spacing w:after="120"/>
        <w:jc w:val="both"/>
      </w:pPr>
      <w:r>
        <w:t xml:space="preserve">L’assemblée générale ne peut valablement délibérer sur une modification des statuts que si celle-ci est expressément indiquée dans la convocation et si au moins deux tiers des membres effectifs sont présents ou représentés.</w:t>
      </w:r>
    </w:p>
    <w:p>
      <w:pPr>
        <w:spacing w:after="120"/>
        <w:jc w:val="both"/>
      </w:pPr>
      <w:r>
        <w:t xml:space="preserve">Une modification des statuts n’est adoptée qu’à la majorité des deux tiers des voix des membres présents ou représentés. Toutefois, une modification qui porte sur le but désintéressé ou sur les activités qui constituent l’objet de l’association n’est adoptée qu’à la majorité des quatre cinquièmes des voix des membres présents ou représentés. Les abstentions ne sont prises en compte ni au numérateur ni au dénominateur.</w:t>
      </w:r>
    </w:p>
    <w:p>
      <w:pPr>
        <w:spacing w:after="120"/>
        <w:jc w:val="both"/>
      </w:pPr>
      <w:r>
        <w:t xml:space="preserve">Si le quorum de présence n’est pas atteint, une seconde assemblée peut être convoquée. Elle délibère valablement quel que soit le nombre de membres présents ou représentés et statue aux mêmes majorités. Elle ne peut se tenir moins de quinze jours après la première.</w:t>
      </w:r>
    </w:p>
    <w:p>
      <w:pPr>
        <w:spacing w:after="120"/>
        <w:jc w:val="both"/>
      </w:pPr>
      <w:r>
        <w:t xml:space="preserve">La dissolution volontaire de l’association est décidée dans les conditions de quorum et de majorité prévues par la loi.</w:t>
      </w:r>
    </w:p>
    <w:p>
      <w:pPr>
        <w:pStyle w:val="Heading2"/>
      </w:pPr>
      <w:r>
        <w:t xml:space="preserve">Article 23 — Procès-verbaux</w:t>
      </w:r>
    </w:p>
    <w:p>
      <w:pPr>
        <w:spacing w:after="120"/>
        <w:jc w:val="both"/>
      </w:pPr>
      <w:r>
        <w:t xml:space="preserve">Les décisions de l’assemblée générale sont consignées dans un procès-verbal signé par le président de séance et le secrétaire de séance. Le procès-verbal mentionne les membres présents, représentés et absents (la liste de présence signée y est annexée) ainsi que, pour chaque décision, le nombre de voix pour, contre et d’abstentions.</w:t>
      </w:r>
    </w:p>
    <w:p>
      <w:pPr>
        <w:spacing w:after="120"/>
        <w:jc w:val="both"/>
      </w:pPr>
      <w:r>
        <w:t xml:space="preserve">Le procès-verbal est communiqué aux membres dans les deux mois de l’assemblée. Les procès-verbaux sont conservés au siège dans un registre, le cas échéant électronique, que tout membre effectif peut consulter conformément à l’article 14. Les extraits destinés aux tiers sont signés par le président ou par deux administrateurs.</w:t>
      </w:r>
    </w:p>
    <w:p>
      <w:pPr>
        <w:pStyle w:val="Heading1"/>
      </w:pPr>
      <w:r>
        <w:t xml:space="preserve">Titre V — Conseil d’administration et bureau</w:t>
      </w:r>
    </w:p>
    <w:p>
      <w:pPr>
        <w:pStyle w:val="Heading2"/>
      </w:pPr>
      <w:r>
        <w:t xml:space="preserve">Article 24 — Composition du conseil d’administration et du bureau</w:t>
      </w:r>
    </w:p>
    <w:p>
      <w:pPr>
        <w:tabs>
          <w:tab w:val="left" w:pos="567"/>
        </w:tabs>
        <w:spacing w:after="80"/>
        <w:ind w:left="567" w:hanging="567"/>
        <w:jc w:val="both"/>
      </w:pPr>
      <w:r>
        <w:t xml:space="preserve">§ 1.	</w:t>
      </w:r>
      <w:r>
        <w:t xml:space="preserve">L’association est administrée par un conseil d’administration composé de cinq administrateurs, personnes physiques, élus par l’assemblée générale parmi les membres effectifs. Seuls les administrateurs ont voix délibérative au conseil d’administration.</w:t>
      </w:r>
    </w:p>
    <w:p>
      <w:pPr>
        <w:tabs>
          <w:tab w:val="left" w:pos="567"/>
        </w:tabs>
        <w:spacing w:after="80"/>
        <w:ind w:left="567" w:hanging="567"/>
        <w:jc w:val="both"/>
      </w:pPr>
      <w:r>
        <w:t xml:space="preserve">§ 2.	</w:t>
      </w:r>
      <w:r>
        <w:t xml:space="preserve">L’assemblée générale élit également, parmi les membres effectifs, les membres du bureau : le président, le vice-président, le secrétaire général, le secrétaire adjoint et le trésorier. Le président et le trésorier sont choisis parmi les administrateurs ; ces deux fonctions ne peuvent être cumulées. Les autres membres du bureau peuvent ne pas être administrateurs ; ils sont invités aux réunions du conseil d’administration avec voix consultative.</w:t>
      </w:r>
    </w:p>
    <w:p>
      <w:pPr>
        <w:tabs>
          <w:tab w:val="left" w:pos="567"/>
        </w:tabs>
        <w:spacing w:after="80"/>
        <w:ind w:left="567" w:hanging="567"/>
        <w:jc w:val="both"/>
      </w:pPr>
      <w:r>
        <w:t xml:space="preserve">§ 3.	</w:t>
      </w:r>
      <w:r>
        <w:t xml:space="preserve">Les membres du bureau sont élus pour trois ans. Leur mandat est renouvelable et l’assemblée générale peut le révoquer à tout moment. En cas de vacance d’une fonction, le conseil d’administration désigne un remplaçant jusqu’à la prochaine assemblée générale, parmi les administrateurs s’il s’agit du président ou du trésorier.</w:t>
      </w:r>
    </w:p>
    <w:p>
      <w:pPr>
        <w:tabs>
          <w:tab w:val="left" w:pos="567"/>
        </w:tabs>
        <w:spacing w:after="80"/>
        <w:ind w:left="567" w:hanging="567"/>
        <w:jc w:val="both"/>
      </w:pPr>
      <w:r>
        <w:t xml:space="preserve">§ 4.	</w:t>
      </w:r>
      <w:r>
        <w:t xml:space="preserve">Le bureau prépare les réunions du conseil d’administration et de l’assemblée générale et met en œuvre leurs décisions. Il n’a ni pouvoir de décision propre ni pouvoir de représentation, sauf délégation expresse du conseil d’administration conformément à l’article 31. Les missions de chaque fonction sont précisées par le règlement d’ordre intérieur.</w:t>
      </w:r>
    </w:p>
    <w:p>
      <w:pPr>
        <w:pStyle w:val="Heading2"/>
      </w:pPr>
      <w:r>
        <w:t xml:space="preserve">Article 25 — Mandat, candidatures, fin du mandat et cooptation</w:t>
      </w:r>
    </w:p>
    <w:p>
      <w:pPr>
        <w:spacing w:after="120"/>
        <w:jc w:val="both"/>
      </w:pPr>
      <w:r>
        <w:t xml:space="preserve">Les administrateurs sont élus pour un terme de trois ans, qui prend fin à l’issue de l’assemblée générale ordinaire de la troisième année. Leur mandat est renouvelable sans limite.</w:t>
      </w:r>
    </w:p>
    <w:p>
      <w:pPr>
        <w:spacing w:after="120"/>
        <w:jc w:val="both"/>
      </w:pPr>
      <w:r>
        <w:t xml:space="preserve">Les candidatures sont adressées par écrit au conseil d’administration au moins vingt et un jours avant l’assemblée générale. La liste des candidats est jointe à la convocation.</w:t>
      </w:r>
    </w:p>
    <w:p>
      <w:pPr>
        <w:spacing w:after="120"/>
        <w:jc w:val="both"/>
      </w:pPr>
      <w:r>
        <w:t xml:space="preserve">Le mandat d’administrateur prend fin par l’expiration du terme, la démission, la révocation, le décès ou la perte de la qualité de membre effectif. L’assemblée générale peut révoquer un administrateur à tout moment, sans devoir motiver sa décision. Tout administrateur peut démissionner par écrit adressé au conseil d’administration ; si sa démission a pour effet de réduire le nombre d’administrateurs en dessous de trois, il reste en fonction jusqu’à ce qu’il soit pourvu à son remplacement.</w:t>
      </w:r>
    </w:p>
    <w:p>
      <w:pPr>
        <w:spacing w:after="120"/>
        <w:jc w:val="both"/>
      </w:pPr>
      <w:r>
        <w:t xml:space="preserve">En cas de vacance d’un mandat, le conseil d’administration peut coopter un nouvel administrateur parmi les membres effectifs. La première assemblée générale qui suit confirme ou non ce mandat. L’administrateur coopté et confirmé achève le mandat de celui qu’il remplace. À défaut de confirmation, son mandat prend fin à l’issue de cette assemblée, sans préjudice de la régularité de la composition du conseil d’administration jusqu’à cette date. Tant qu’au moins trois administrateurs restent en fonction, le conseil d’administration continue de délibérer et de décider valablement en attendant qu’il soit pourvu au remplacement.</w:t>
      </w:r>
    </w:p>
    <w:p>
      <w:pPr>
        <w:spacing w:after="120"/>
        <w:jc w:val="both"/>
      </w:pPr>
      <w:r>
        <w:t xml:space="preserve">L’administrateur qui, sans excuse valable, n’assiste pas à plus de la moitié des réunions du conseil d’administration au cours d’une année peut faire l’objet d’une proposition de révocation à l’assemblée générale.</w:t>
      </w:r>
    </w:p>
    <w:p>
      <w:pPr>
        <w:pStyle w:val="Heading2"/>
      </w:pPr>
      <w:r>
        <w:t xml:space="preserve">Article 26 — Gratuité et responsabilité</w:t>
      </w:r>
    </w:p>
    <w:p>
      <w:pPr>
        <w:spacing w:after="120"/>
        <w:jc w:val="both"/>
      </w:pPr>
      <w:r>
        <w:t xml:space="preserve">Le mandat d’administrateur est exercé à titre gratuit. Les administrateurs peuvent être remboursés des frais réels exposés pour l’association, sur justificatifs, conformément au règlement d’ordre intérieur.</w:t>
      </w:r>
    </w:p>
    <w:p>
      <w:pPr>
        <w:spacing w:after="120"/>
        <w:jc w:val="both"/>
      </w:pPr>
      <w:r>
        <w:t xml:space="preserve">Les administrateurs ne contractent aucune obligation personnelle relativement aux engagements de l’association. Leur responsabilité se limite à l’exécution de leur mandat, conformément au CSA.</w:t>
      </w:r>
    </w:p>
    <w:p>
      <w:pPr>
        <w:pStyle w:val="Heading2"/>
      </w:pPr>
      <w:r>
        <w:t xml:space="preserve">Article 27 — Réunions et délibérations</w:t>
      </w:r>
    </w:p>
    <w:p>
      <w:pPr>
        <w:spacing w:after="120"/>
        <w:jc w:val="both"/>
      </w:pPr>
      <w:r>
        <w:t xml:space="preserve">Le conseil d’administration se réunit au moins quatre fois par an et chaque fois que l’intérêt de l’association l’exige, sur convocation du président ou de deux administrateurs. Il est présidé par le président ou, à défaut, par un administrateur désigné par les administrateurs présents.</w:t>
      </w:r>
    </w:p>
    <w:p>
      <w:pPr>
        <w:spacing w:after="120"/>
        <w:jc w:val="both"/>
      </w:pPr>
      <w:r>
        <w:t xml:space="preserve">La convocation est envoyée aux administrateurs et aux autres membres du bureau, par e-mail ou par messagerie, au moins sept jours avant la réunion, ou deux jours en cas d’urgence motivée. Elle contient l’ordre du jour, la date, l’heure et le lieu ou le lien de connexion. Les réunions peuvent se tenir en présentiel, par visioconférence ou sous forme hybride.</w:t>
      </w:r>
    </w:p>
    <w:p>
      <w:pPr>
        <w:spacing w:after="120"/>
        <w:jc w:val="both"/>
      </w:pPr>
      <w:r>
        <w:t xml:space="preserve">Le conseil d’administration ne délibère valablement que si la majorité des administrateurs en fonction est présente ou représentée. Un administrateur peut donner procuration écrite à un autre administrateur ; aucun administrateur ne peut détenir plus d’une procuration. Le conseil ne délibère que sur les points inscrits à l’ordre du jour, sauf si tous les administrateurs sont présents ou représentés et acceptent d’en délibérer.</w:t>
      </w:r>
    </w:p>
    <w:p>
      <w:pPr>
        <w:spacing w:after="120"/>
        <w:jc w:val="both"/>
      </w:pPr>
      <w:r>
        <w:t xml:space="preserve">Les décisions sont prises à la majorité simple des voix exprimées. En cas de partage, la voix du président de séance est prépondérante. Les décisions peuvent aussi être prises par consentement unanime des administrateurs, exprimé par écrit, y compris par e-mail.</w:t>
      </w:r>
    </w:p>
    <w:p>
      <w:pPr>
        <w:spacing w:after="120"/>
        <w:jc w:val="both"/>
      </w:pPr>
      <w:r>
        <w:t xml:space="preserve">Les décisions sont consignées dans des procès-verbaux signés par le président et le secrétaire général, et conservées dans un registre au siège.</w:t>
      </w:r>
    </w:p>
    <w:p>
      <w:pPr>
        <w:pStyle w:val="Heading2"/>
      </w:pPr>
      <w:r>
        <w:t xml:space="preserve">Article 28 — Conflits d’intérêts</w:t>
      </w:r>
    </w:p>
    <w:p>
      <w:pPr>
        <w:spacing w:after="120"/>
        <w:jc w:val="both"/>
      </w:pPr>
      <w:r>
        <w:t xml:space="preserve">Lorsque le conseil d’administration doit prendre une décision à propos de laquelle un administrateur a un intérêt direct ou indirect de nature patrimoniale opposé à celui de l’association, cet administrateur en informe les autres administrateurs avant la délibération. Sa déclaration et ses explications figurent au procès-verbal. Il ne prend part ni à la délibération ni au vote. Lorsque tous les administrateurs ont un conflit d’intérêts, la décision est soumise à l’assemblée générale.</w:t>
      </w:r>
    </w:p>
    <w:p>
      <w:pPr>
        <w:pStyle w:val="Heading2"/>
      </w:pPr>
      <w:r>
        <w:t xml:space="preserve">Article 29 — Pouvoirs</w:t>
      </w:r>
    </w:p>
    <w:p>
      <w:pPr>
        <w:spacing w:after="120"/>
        <w:jc w:val="both"/>
      </w:pPr>
      <w:r>
        <w:t xml:space="preserve">Le conseil d’administration a les pouvoirs les plus étendus pour l’administration et la gestion de l’association. Il exerce tous les pouvoirs qui ne sont pas expressément réservés à l’assemblée générale par la loi ou les statuts.</w:t>
      </w:r>
    </w:p>
    <w:p>
      <w:pPr>
        <w:pStyle w:val="Heading2"/>
      </w:pPr>
      <w:r>
        <w:t xml:space="preserve">Article 30 — Représentation</w:t>
      </w:r>
    </w:p>
    <w:p>
      <w:pPr>
        <w:spacing w:after="120"/>
        <w:jc w:val="both"/>
      </w:pPr>
      <w:r>
        <w:t xml:space="preserve">Le conseil d’administration représente l’association en tant que collège, y compris en justice.</w:t>
      </w:r>
    </w:p>
    <w:p>
      <w:pPr>
        <w:spacing w:after="120"/>
        <w:jc w:val="both"/>
      </w:pPr>
      <w:r>
        <w:t xml:space="preserve">Sans préjudice de ce pouvoir, l’association est valablement représentée dans tous ses actes, y compris en justice, par deux administrateurs agissant conjointement. Ceux-ci n’ont pas à justifier à l’égard des tiers d’une décision préalable du conseil d’administration.</w:t>
      </w:r>
    </w:p>
    <w:p>
      <w:pPr>
        <w:pStyle w:val="Heading2"/>
      </w:pPr>
      <w:r>
        <w:t xml:space="preserve">Article 31 — Gestion journalière et mandats spéciaux</w:t>
      </w:r>
    </w:p>
    <w:p>
      <w:pPr>
        <w:spacing w:after="120"/>
        <w:jc w:val="both"/>
      </w:pPr>
      <w:r>
        <w:t xml:space="preserve">Le conseil d’administration peut confier la gestion journalière de l’association, avec l’usage de la signature y afférente, à une ou plusieurs personnes, administrateurs ou non, agissant seules ou conjointement. La gestion journalière comprend les actes et décisions qui n’excèdent pas les besoins de la vie quotidienne de l’association, ainsi que ceux qui, en raison de leur intérêt mineur ou de leur urgence, ne justifient pas l’intervention du conseil d’administration.</w:t>
      </w:r>
    </w:p>
    <w:p>
      <w:pPr>
        <w:spacing w:after="120"/>
        <w:jc w:val="both"/>
      </w:pPr>
      <w:r>
        <w:t xml:space="preserve">Le conseil d’administration fixe l’étendue et la durée de cette délégation et peut y mettre fin à tout moment. Il peut en outre conférer des mandats spéciaux et limités à toute personne de son choix.</w:t>
      </w:r>
    </w:p>
    <w:p>
      <w:pPr>
        <w:pStyle w:val="Heading2"/>
      </w:pPr>
      <w:r>
        <w:t xml:space="preserve">Article 32 — Vérification des comptes</w:t>
      </w:r>
    </w:p>
    <w:p>
      <w:pPr>
        <w:spacing w:after="120"/>
        <w:jc w:val="both"/>
      </w:pPr>
      <w:r>
        <w:t xml:space="preserve">Tant que la loi n’impose pas la nomination d’un commissaire, l’assemblée générale désigne un ou deux vérificateurs aux comptes, choisis en dehors du conseil d’administration, pour un mandat de trois ans renouvelable. Ils ont accès à tous les livres et pièces comptables et font rapport par écrit à l’assemblée générale ordinaire.</w:t>
      </w:r>
    </w:p>
    <w:p>
      <w:pPr>
        <w:pStyle w:val="Heading1"/>
      </w:pPr>
      <w:r>
        <w:t xml:space="preserve">Titre VI — Comptes et budget</w:t>
      </w:r>
    </w:p>
    <w:p>
      <w:pPr>
        <w:pStyle w:val="Heading2"/>
      </w:pPr>
      <w:r>
        <w:t xml:space="preserve">Article 33 — Exercice social</w:t>
      </w:r>
    </w:p>
    <w:p>
      <w:pPr>
        <w:spacing w:after="120"/>
        <w:jc w:val="both"/>
      </w:pPr>
      <w:r>
        <w:t xml:space="preserve">L’exercice social commence le 1er janvier et se termine le 31 décembre.</w:t>
      </w:r>
    </w:p>
    <w:p>
      <w:pPr>
        <w:pStyle w:val="Heading2"/>
      </w:pPr>
      <w:r>
        <w:t xml:space="preserve">Article 34 — Comptes annuels et budget</w:t>
      </w:r>
    </w:p>
    <w:p>
      <w:pPr>
        <w:spacing w:after="120"/>
        <w:jc w:val="both"/>
      </w:pPr>
      <w:r>
        <w:t xml:space="preserve">Chaque année, le conseil d’administration établit les comptes de l’exercice écoulé et le budget de l’exercice suivant. Il les soumet, avec le rapport des vérificateurs aux comptes, à l’approbation de l’assemblée générale ordinaire, dans les six mois de la clôture de l’exercice.</w:t>
      </w:r>
    </w:p>
    <w:p>
      <w:pPr>
        <w:spacing w:after="120"/>
        <w:jc w:val="both"/>
      </w:pPr>
      <w:r>
        <w:t xml:space="preserve">Après l’approbation des comptes, l’assemblée générale se prononce par un vote distinct sur la décharge des administrateurs et des vérificateurs aux comptes. Les comptes sont déposés conformément à la loi.</w:t>
      </w:r>
    </w:p>
    <w:p>
      <w:pPr>
        <w:pStyle w:val="Heading1"/>
      </w:pPr>
      <w:r>
        <w:t xml:space="preserve">Titre VII — Règlement d’ordre intérieur et charte</w:t>
      </w:r>
    </w:p>
    <w:p>
      <w:pPr>
        <w:pStyle w:val="Heading2"/>
      </w:pPr>
      <w:r>
        <w:t xml:space="preserve">Article 35</w:t>
      </w:r>
    </w:p>
    <w:p>
      <w:pPr>
        <w:spacing w:after="120"/>
        <w:jc w:val="both"/>
      </w:pPr>
      <w:r>
        <w:t xml:space="preserve">L’assemblée générale peut adopter, à la majorité simple, un règlement d’ordre intérieur et une charte des membres. Ceux-ci ne peuvent contenir de dispositions contraires aux dispositions légales impératives ou aux statuts.</w:t>
      </w:r>
    </w:p>
    <w:p>
      <w:pPr>
        <w:spacing w:after="120"/>
        <w:jc w:val="both"/>
      </w:pPr>
      <w:r>
        <w:t xml:space="preserve">La dernière version approuvée du règlement d’ordre intérieur est celle adoptée par l’assemblée générale du </w:t>
      </w:r>
      <w:r>
        <w:t xml:space="preserve">3 octobre 2026</w:t>
      </w:r>
      <w:r>
        <w:t xml:space="preserve">.</w:t>
      </w:r>
    </w:p>
    <w:p>
      <w:pPr>
        <w:pStyle w:val="Heading1"/>
      </w:pPr>
      <w:r>
        <w:t xml:space="preserve">Titre VIII — Dissolution et liquidation</w:t>
      </w:r>
    </w:p>
    <w:p>
      <w:pPr>
        <w:pStyle w:val="Heading2"/>
      </w:pPr>
      <w:r>
        <w:t xml:space="preserve">Article 36 — Liquidation</w:t>
      </w:r>
    </w:p>
    <w:p>
      <w:pPr>
        <w:spacing w:after="120"/>
        <w:jc w:val="both"/>
      </w:pPr>
      <w:r>
        <w:t xml:space="preserve">En cas de dissolution volontaire, l’assemblée générale désigne un ou plusieurs liquidateurs, détermine leurs pouvoirs et les modalités de la liquidation, conformément à la loi.</w:t>
      </w:r>
    </w:p>
    <w:p>
      <w:pPr>
        <w:pStyle w:val="Heading2"/>
      </w:pPr>
      <w:r>
        <w:t xml:space="preserve">Article 37 — Affectation du patrimoine</w:t>
      </w:r>
    </w:p>
    <w:p>
      <w:pPr>
        <w:spacing w:after="120"/>
        <w:jc w:val="both"/>
      </w:pPr>
      <w:r>
        <w:t xml:space="preserve">En cas de dissolution, après apurement du passif, l’actif net est affecté à une association sans but lucratif ou à une fondation qui poursuit un but désintéressé similaire à celui de l’association, désignée par l’assemblée générale ou, à défaut, par le ou les liquidateurs.</w:t>
      </w:r>
    </w:p>
    <w:p>
      <w:pPr>
        <w:pStyle w:val="Heading1"/>
      </w:pPr>
      <w:r>
        <w:t xml:space="preserve">Titre IX — Dispositions finales et transitoires</w:t>
      </w:r>
    </w:p>
    <w:p>
      <w:pPr>
        <w:pStyle w:val="Heading2"/>
      </w:pPr>
      <w:r>
        <w:t xml:space="preserve">Article 38 — Publications</w:t>
      </w:r>
    </w:p>
    <w:p>
      <w:pPr>
        <w:spacing w:after="120"/>
        <w:jc w:val="both"/>
      </w:pPr>
      <w:r>
        <w:t xml:space="preserve">Les modifications des statuts, les nominations et cessations de fonctions des administrateurs, des personnes habilitées à représenter l’association, des délégués à la gestion journalière et du commissaire éventuel, ainsi que les décisions relatives à la dissolution, sont déposées au greffe du tribunal de l’entreprise et publiées aux Annexes du Moniteur belge conformément à la loi.</w:t>
      </w:r>
    </w:p>
    <w:p>
      <w:pPr>
        <w:pStyle w:val="Heading2"/>
      </w:pPr>
      <w:r>
        <w:t xml:space="preserve">Article 39 — Droit applicable</w:t>
      </w:r>
    </w:p>
    <w:p>
      <w:pPr>
        <w:spacing w:after="120"/>
        <w:jc w:val="both"/>
      </w:pPr>
      <w:r>
        <w:t xml:space="preserve">Tout ce qui n’est pas réglé par les présents statuts est régi par le Code des sociétés et des associations.</w:t>
      </w:r>
    </w:p>
    <w:p>
      <w:pPr>
        <w:pStyle w:val="Heading2"/>
      </w:pPr>
      <w:r>
        <w:t xml:space="preserve">Article 40 — Dispositions transitoires</w:t>
      </w:r>
    </w:p>
    <w:p>
      <w:pPr>
        <w:spacing w:after="120"/>
        <w:jc w:val="both"/>
      </w:pPr>
      <w:r>
        <w:t xml:space="preserve">Les administrateurs en fonction lors de l’adoption des présents statuts poursuivent leur mandat jusqu’à son terme, soit jusqu’à l’issue de l’assemblée générale ordinaire de 2029. Les membres du bureau élus par l’assemblée générale du 3 octobre 2026 conservent leur fonction jusqu’au terme de leur mandat.</w:t>
      </w:r>
    </w:p>
    <w:p>
      <w:pPr>
        <w:spacing w:after="120"/>
        <w:jc w:val="both"/>
      </w:pPr>
      <w:r>
        <w:t xml:space="preserve">Les fonctions de commissaire aux comptes, de censeur et de conseiller prévues par les statuts du 25 mars 2023 sont supprimées. La personne désignée commissaire aux comptes par l’assemblée générale du 3 octobre 2026 exerce la fonction de vérificatrice aux comptes prévue à l’article 32 jusqu’au terme de son mandat.</w:t>
      </w:r>
    </w:p>
    <w:p/>
    <w:p>
      <w:pPr>
        <w:spacing w:after="120"/>
        <w:jc w:val="left"/>
      </w:pPr>
      <w:r>
        <w:t xml:space="preserve">Statuts coordonnés adoptés par l’assemblée générale du </w:t>
      </w:r>
      <w:r>
        <w:t xml:space="preserve">3 octobre 2026</w:t>
      </w:r>
      <w:r>
        <w:t xml:space="preserve">, à </w:t>
      </w:r>
      <w:r>
        <w:t xml:space="preserve">Charleroi</w:t>
      </w:r>
      <w:r>
        <w:t xml:space="preserve">.</w:t>
      </w:r>
    </w:p>
    <w:p/>
    <w:p>
      <w:pPr>
        <w:spacing w:after="120"/>
        <w:jc w:val="left"/>
      </w:pPr>
      <w:r>
        <w:t xml:space="preserve">Pour le conseil d’administration :</w:t>
      </w:r>
    </w:p>
    <w:p>
      <w:pPr>
        <w:spacing w:after="120"/>
        <w:jc w:val="left"/>
      </w:pPr>
      <w:r>
        <w:rPr/>
        <w:t xml:space="preserve">Nom, fonction et signature</w:t>
      </w:r>
      <w:r>
        <w:t xml:space="preserve">				</w:t>
      </w:r>
      <w:r>
        <w:rPr/>
        <w:t xml:space="preserve">Nom, fonction et signature</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Statuts ABIC — texte coordonné adopté par l’AG du 3 octobre 2026 — page </w:t>
    </w:r>
    <w:r>
      <w:rPr>
        <w:color w:val="666666"/>
        <w:sz w:val="16"/>
        <w:szCs w:val="16"/>
      </w:rPr>
      <w:fldChar w:fldCharType="begin"/>
      <w:instrText xml:space="preserve">PAGE</w:instrText>
      <w:fldChar w:fldCharType="separate"/>
      <w:fldChar w:fldCharType="end"/>
    </w:r>
    <w:r>
      <w:rPr>
        <w:color w:val="666666"/>
        <w:sz w:val="16"/>
        <w:szCs w:val="16"/>
      </w:rPr>
      <w:t xml:space="preserve"> / </w:t>
    </w:r>
    <w:r>
      <w:rPr>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66666"/>
        <w:sz w:val="16"/>
        <w:szCs w:val="16"/>
      </w:rPr>
      <w:t xml:space="preserve">ABIC ASBL — Association Belge des Infirmiers Camerounais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4"/>
      </w:pPr>
    </w:lvl>
    <w:lvl w:ilvl="1" w15:tentative="1">
      <w:start w:val="1"/>
      <w:numFmt w:val="bullet"/>
      <w:lvlText w:val="–"/>
      <w:lvlJc w:val="left"/>
      <w:pPr>
        <w:ind w:left="1134" w:hanging="284"/>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keepNext/>
      <w:spacing w:before="360" w:after="160"/>
      <w:outlineLvl w:val="0"/>
    </w:pPr>
    <w:rPr>
      <w:rFonts w:ascii="Calibri" w:cs="Calibri" w:eastAsia="Calibri" w:hAnsi="Calibri"/>
      <w:b/>
      <w:bCs/>
      <w:caps/>
      <w:color w:val="1F4E79"/>
      <w:sz w:val="26"/>
      <w:szCs w:val="26"/>
    </w:rPr>
  </w:style>
  <w:style w:type="paragraph" w:styleId="Heading2">
    <w:name w:val="Heading 2"/>
    <w:basedOn w:val="Normal"/>
    <w:next w:val="Normal"/>
    <w:qFormat/>
    <w:pPr>
      <w:keepNext/>
      <w:spacing w:before="220" w:after="100"/>
      <w:outlineLvl w:val="1"/>
    </w:pPr>
    <w:rPr>
      <w:rFonts w:ascii="Calibri" w:cs="Calibri" w:eastAsia="Calibri" w:hAnsi="Calibri"/>
      <w:b/>
      <w:bCs/>
      <w:color w:val="1F4E79"/>
      <w:sz w:val="23"/>
      <w:szCs w:val="23"/>
    </w:rPr>
  </w:style>
  <w:style w:type="paragraph" w:styleId="Heading3">
    <w:name w:val="Heading 3"/>
    <w:basedOn w:val="Normal"/>
    <w:next w:val="Normal"/>
    <w:qFormat/>
    <w:pPr>
      <w:keepNext/>
      <w:spacing w:before="160" w:after="80"/>
      <w:outlineLvl w:val="2"/>
    </w:pPr>
    <w:rPr>
      <w:rFonts w:ascii="Calibri" w:cs="Calibri" w:eastAsia="Calibri" w:hAnsi="Calibri"/>
      <w:b/>
      <w:bCs/>
      <w:color w:val="33333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 ABIC — texte coordonné</dc:title>
  <dc:creator>ABIC ASBL</dc:creator>
  <cp:lastModifiedBy>Un-named</cp:lastModifiedBy>
  <cp:revision>1</cp:revision>
  <dcterms:created xsi:type="dcterms:W3CDTF">2026-11-03T00:20:48.602Z</dcterms:created>
  <dcterms:modified xsi:type="dcterms:W3CDTF">2026-11-03T12:45:00Z</dcterms:modified>
</cp:coreProperties>
</file>

<file path=docProps/custom.xml><?xml version="1.0" encoding="utf-8"?>
<Properties xmlns="http://schemas.openxmlformats.org/officeDocument/2006/custom-properties" xmlns:vt="http://schemas.openxmlformats.org/officeDocument/2006/docPropsVTypes"/>
</file>